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tbl>
      <w:tblPr>
        <w:tblLayout w:type="fixed"/>
        <w:tblInd w:w="1964"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b w:val="1"/>
                <w:bCs w:val="1"/>
                <w:color w:val="auto"/>
              </w:rPr>
              <w:t>Commission File Number: 333-175075</w:t>
            </w:r>
          </w:p>
        </w:tc>
      </w:tr>
      <w:tr>
        <w:trPr>
          <w:trHeight w:val="342"/>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center"/>
              <w:ind w:left="3879"/>
              <w:spacing w:after="0"/>
              <w:rPr>
                <w:sz w:val="20"/>
                <w:szCs w:val="20"/>
                <w:color w:val="auto"/>
              </w:rPr>
            </w:pPr>
            <w:r>
              <w:rPr>
                <w:rFonts w:ascii="Arial" w:cs="Arial" w:eastAsia="Arial" w:hAnsi="Arial"/>
                <w:sz w:val="18"/>
                <w:szCs w:val="18"/>
                <w:b w:val="1"/>
                <w:bCs w:val="1"/>
                <w:color w:val="auto"/>
                <w:w w:val="91"/>
              </w:rPr>
              <w:t>22-2894486</w:t>
            </w:r>
          </w:p>
        </w:tc>
      </w:tr>
      <w:tr>
        <w:trPr>
          <w:trHeight w:val="148"/>
        </w:trPr>
        <w:tc>
          <w:tcPr>
            <w:tcW w:w="18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ind w:left="387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080" w:type="dxa"/>
            <w:vAlign w:val="bottom"/>
          </w:tcPr>
          <w:p>
            <w:pPr>
              <w:jc w:val="center"/>
              <w:ind w:left="387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New York, New York 10281</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209-2500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1.03</w:t>
      </w:r>
      <w:r>
        <w:rPr>
          <w:sz w:val="20"/>
          <w:szCs w:val="20"/>
          <w:color w:val="auto"/>
        </w:rPr>
        <w:tab/>
      </w:r>
      <w:r>
        <w:rPr>
          <w:rFonts w:ascii="Arial" w:cs="Arial" w:eastAsia="Arial" w:hAnsi="Arial"/>
          <w:sz w:val="16"/>
          <w:szCs w:val="16"/>
          <w:b w:val="1"/>
          <w:bCs w:val="1"/>
          <w:color w:val="auto"/>
        </w:rPr>
        <w:t>Bankruptcy or Receivership.</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4, 2020, Chinos Holdings, Inc. (“</w:t>
      </w:r>
      <w:r>
        <w:rPr>
          <w:rFonts w:ascii="Arial" w:cs="Arial" w:eastAsia="Arial" w:hAnsi="Arial"/>
          <w:sz w:val="18"/>
          <w:szCs w:val="18"/>
          <w:b w:val="1"/>
          <w:bCs w:val="1"/>
          <w:color w:val="auto"/>
        </w:rPr>
        <w:t>Parent</w:t>
      </w:r>
      <w:r>
        <w:rPr>
          <w:rFonts w:ascii="Arial" w:cs="Arial" w:eastAsia="Arial" w:hAnsi="Arial"/>
          <w:sz w:val="18"/>
          <w:szCs w:val="18"/>
          <w:color w:val="auto"/>
        </w:rPr>
        <w:t>”), the ultimate parent of J.Crew Group, Inc. (the “</w:t>
      </w:r>
      <w:r>
        <w:rPr>
          <w:rFonts w:ascii="Arial" w:cs="Arial" w:eastAsia="Arial" w:hAnsi="Arial"/>
          <w:sz w:val="18"/>
          <w:szCs w:val="18"/>
          <w:b w:val="1"/>
          <w:bCs w:val="1"/>
          <w:color w:val="auto"/>
        </w:rPr>
        <w:t>Company</w:t>
      </w:r>
      <w:r>
        <w:rPr>
          <w:rFonts w:ascii="Arial" w:cs="Arial" w:eastAsia="Arial" w:hAnsi="Arial"/>
          <w:sz w:val="18"/>
          <w:szCs w:val="18"/>
          <w:color w:val="auto"/>
        </w:rPr>
        <w:t>”), Chinos Intermediate Holdings A, Inc. (“</w:t>
      </w:r>
      <w:r>
        <w:rPr>
          <w:rFonts w:ascii="Arial" w:cs="Arial" w:eastAsia="Arial" w:hAnsi="Arial"/>
          <w:sz w:val="18"/>
          <w:szCs w:val="18"/>
          <w:b w:val="1"/>
          <w:bCs w:val="1"/>
          <w:color w:val="auto"/>
        </w:rPr>
        <w:t>Chinos A</w:t>
      </w:r>
      <w:r>
        <w:rPr>
          <w:rFonts w:ascii="Arial" w:cs="Arial" w:eastAsia="Arial" w:hAnsi="Arial"/>
          <w:sz w:val="18"/>
          <w:szCs w:val="18"/>
          <w:color w:val="auto"/>
        </w:rPr>
        <w:t>”), an indirect parent of the Company, Chinos Intermediate Holdings B, Inc. (“</w:t>
      </w:r>
      <w:r>
        <w:rPr>
          <w:rFonts w:ascii="Arial" w:cs="Arial" w:eastAsia="Arial" w:hAnsi="Arial"/>
          <w:sz w:val="18"/>
          <w:szCs w:val="18"/>
          <w:b w:val="1"/>
          <w:bCs w:val="1"/>
          <w:color w:val="auto"/>
        </w:rPr>
        <w:t>Chinos B</w:t>
      </w:r>
      <w:r>
        <w:rPr>
          <w:rFonts w:ascii="Arial" w:cs="Arial" w:eastAsia="Arial" w:hAnsi="Arial"/>
          <w:sz w:val="18"/>
          <w:szCs w:val="18"/>
          <w:color w:val="auto"/>
        </w:rPr>
        <w:t>”) the direct parent of the Company, the Company and certain of the Company’s direct and indirect subsidiaries (collectively, the “</w:t>
      </w:r>
      <w:r>
        <w:rPr>
          <w:rFonts w:ascii="Arial" w:cs="Arial" w:eastAsia="Arial" w:hAnsi="Arial"/>
          <w:sz w:val="18"/>
          <w:szCs w:val="18"/>
          <w:b w:val="1"/>
          <w:bCs w:val="1"/>
          <w:color w:val="auto"/>
        </w:rPr>
        <w:t>Debtors</w:t>
      </w:r>
      <w:r>
        <w:rPr>
          <w:rFonts w:ascii="Arial" w:cs="Arial" w:eastAsia="Arial" w:hAnsi="Arial"/>
          <w:sz w:val="18"/>
          <w:szCs w:val="18"/>
          <w:color w:val="auto"/>
        </w:rPr>
        <w:t>”) filed voluntary petitions (the cases commenced thereby, the “</w:t>
      </w:r>
      <w:r>
        <w:rPr>
          <w:rFonts w:ascii="Arial" w:cs="Arial" w:eastAsia="Arial" w:hAnsi="Arial"/>
          <w:sz w:val="18"/>
          <w:szCs w:val="18"/>
          <w:b w:val="1"/>
          <w:bCs w:val="1"/>
          <w:color w:val="auto"/>
        </w:rPr>
        <w:t>Chapter 11 Cases</w:t>
      </w:r>
      <w:r>
        <w:rPr>
          <w:rFonts w:ascii="Arial" w:cs="Arial" w:eastAsia="Arial" w:hAnsi="Arial"/>
          <w:sz w:val="18"/>
          <w:szCs w:val="18"/>
          <w:color w:val="auto"/>
        </w:rPr>
        <w:t>”) under chapter 11 of title 11 of the Bankruptcy Code in the United States Bankruptcy Court for the Eastern District of Virginia, Richmond Division (the “</w:t>
      </w:r>
      <w:r>
        <w:rPr>
          <w:rFonts w:ascii="Arial" w:cs="Arial" w:eastAsia="Arial" w:hAnsi="Arial"/>
          <w:sz w:val="18"/>
          <w:szCs w:val="18"/>
          <w:b w:val="1"/>
          <w:bCs w:val="1"/>
          <w:color w:val="auto"/>
        </w:rPr>
        <w:t>Bankruptcy Court</w:t>
      </w:r>
      <w:r>
        <w:rPr>
          <w:rFonts w:ascii="Arial" w:cs="Arial" w:eastAsia="Arial" w:hAnsi="Arial"/>
          <w:sz w:val="18"/>
          <w:szCs w:val="18"/>
          <w:color w:val="auto"/>
        </w:rPr>
        <w:t>”). The Debtors will continue to operate their businesses as “debtors in possession” under the jurisdiction of the Bankruptcy Court and in accordance with the applicable provisions of the Bankruptcy Code. The Debtors intend to continue to operate their businesses in the ordinary course during the pendency of the Chapter 11 Cases. To assure ordinary course operations, the Debtors are seeking approval from the Bankruptcy Court for a variety of “first day” motions seeking various relief, authorizing the Debtors to maintain their operations in the ordinary course.</w:t>
      </w:r>
    </w:p>
    <w:p>
      <w:pPr>
        <w:spacing w:after="0" w:line="192" w:lineRule="exact"/>
        <w:rPr>
          <w:sz w:val="20"/>
          <w:szCs w:val="20"/>
          <w:color w:val="auto"/>
        </w:rPr>
      </w:pPr>
    </w:p>
    <w:p>
      <w:pPr>
        <w:ind w:right="1440"/>
        <w:spacing w:after="0" w:line="277" w:lineRule="auto"/>
        <w:rPr>
          <w:sz w:val="20"/>
          <w:szCs w:val="20"/>
          <w:color w:val="auto"/>
        </w:rPr>
      </w:pPr>
      <w:r>
        <w:rPr>
          <w:rFonts w:ascii="Arial" w:cs="Arial" w:eastAsia="Arial" w:hAnsi="Arial"/>
          <w:sz w:val="18"/>
          <w:szCs w:val="18"/>
          <w:color w:val="auto"/>
        </w:rPr>
        <w:t>For Bankruptcy Court filings and other additional information related to the Chapter 11 Cases available from time to time, please see www.omniagentsolutions.com/chinos.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1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color w:val="auto"/>
        </w:rPr>
        <w:t>In connection with discussions regarding the Chapter 11 Cases with certain of the Company’s stakeholders (the “</w:t>
      </w:r>
      <w:r>
        <w:rPr>
          <w:rFonts w:ascii="Arial" w:cs="Arial" w:eastAsia="Arial" w:hAnsi="Arial"/>
          <w:sz w:val="18"/>
          <w:szCs w:val="18"/>
          <w:b w:val="1"/>
          <w:bCs w:val="1"/>
          <w:color w:val="auto"/>
        </w:rPr>
        <w:t>Confidential Information Parties</w:t>
      </w:r>
      <w:r>
        <w:rPr>
          <w:rFonts w:ascii="Arial" w:cs="Arial" w:eastAsia="Arial" w:hAnsi="Arial"/>
          <w:sz w:val="18"/>
          <w:szCs w:val="18"/>
          <w:color w:val="auto"/>
        </w:rPr>
        <w:t>”), the Company provided certain confidential information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to such Confidential Information Parties. The Confidential Information is attached hereto as Exhibit 99.1.</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Confidential Information was prepared by the Company solely to facilitate discussions regarding potential transactions between the Company and the Confidential Information Parties. The Confidential Information was not prepared with a view toward public disclosure and should not be relied upon to make an investment decision with respect to J.Crew. The inclusion of the Confidential Information should not be regarded as an indication that J.Crew or any third party consider the Confidential Information to be a reliable prediction of future events, and the Confidential Information should not be relied upon as such. The Confidential Information includes certain potential values for illustrative purposes only and such values are not the result of, and do not represent, actual valuations, estimates, forecasts or projections of J.Crew or any third party and should not be relied upon as such. Neither J.Crew nor any third party has made or makes any representation to any person regarding the accuracy of any Confidential Information or the ultimate outcome of any potential restructuring transaction, and none of them undertakes any obligation to publicly update the Confidential Information to reflect circumstances existing after the date when the Confidential Information was prepared or conveyed or to reflect the occurrence of future events, even in the event that any or all of the assumptions underlying the Confidential Information are shown to be in error. No assurance can be given that any transactions discussed between the Company and Confidential Information Parties will occur.</w:t>
      </w:r>
    </w:p>
    <w:p>
      <w:pPr>
        <w:spacing w:after="0" w:line="17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information in this report under Item 7.01 shall not be deemed to be “filed” for purposes of Section 18 of the Securities and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a filing.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20" w:val="left"/>
        </w:tabs>
        <w:rPr>
          <w:sz w:val="20"/>
          <w:szCs w:val="20"/>
          <w:color w:val="auto"/>
        </w:rPr>
      </w:pPr>
      <w:r>
        <w:rPr>
          <w:rFonts w:ascii="Arial" w:cs="Arial" w:eastAsia="Arial" w:hAnsi="Arial"/>
          <w:sz w:val="14"/>
          <w:szCs w:val="14"/>
          <w:u w:val="single" w:color="auto"/>
          <w:color w:val="auto"/>
        </w:rPr>
        <w:t>No.</w:t>
      </w:r>
      <w:r>
        <w:rPr>
          <w:sz w:val="20"/>
          <w:szCs w:val="20"/>
          <w:color w:val="auto"/>
        </w:rPr>
        <w:tab/>
      </w:r>
      <w:r>
        <w:rPr>
          <w:rFonts w:ascii="Arial" w:cs="Arial" w:eastAsia="Arial" w:hAnsi="Arial"/>
          <w:sz w:val="14"/>
          <w:szCs w:val="14"/>
          <w:u w:val="single" w:color="auto"/>
          <w:color w:val="auto"/>
        </w:rPr>
        <w:t>Description</w:t>
      </w:r>
    </w:p>
    <w:p>
      <w:pPr>
        <w:spacing w:after="0" w:line="9" w:lineRule="exact"/>
        <w:rPr>
          <w:sz w:val="20"/>
          <w:szCs w:val="20"/>
          <w:color w:val="auto"/>
        </w:rPr>
      </w:pPr>
    </w:p>
    <w:p>
      <w:pPr>
        <w:spacing w:after="0"/>
        <w:tabs>
          <w:tab w:leader="none" w:pos="82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Confidential Information</w:t>
        </w:r>
      </w:hyperlink>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Vincent Zanna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presentation, recipients acknowledge that they have read, understood and accepted the terms of this disclaimer.</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This presentation is subject to the confidentiality provisions set forth in the recipients’ applicable non-disclosure agreements. This presentation is the property of, and contains the proprietary and confidential information of J. Crew Group, Inc. and its subsidiaries (collectively, the “Company”).</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presentation is being provided for informational purposes only and is intended solely to facilitate a discussion with the recipient. No representation or warranty, express or implied, is or will be given by the Company or its affiliates, directors, officers, partners, employees, agents or advisers or any other person as to the accuracy, completeness, reasonableness or fairness of any information contained in this presentation and no responsibility or liability whatsoever is accepted for the accuracy or sufficiency thereof or for any errors, omissions or misstatements, negligent or otherwise, relating thereto. No information included in this presentation constitutes, nor can it be relied upon as, legal, tax, investment or other advice. Recipients should consult their independent advisors.</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presentation should not be relied upon for the purpose of evaluating the performance of the Company or for any other purpose, and neither the Company nor any of its affiliates, directors, officers, partners, employees, agents or advisers nor any other person, shall be liable for any direct, indirect or consequential liability, loss or damages suffered by any person as a result of this presentation or their reliance on any statement, estimate, target, projection or forward-looking information in or omission from this presentation and any such liability is expressly disclaimed. In all cases, interested parties should conduct their own investigation and analysis of the Company and the information contained herein. This presentation should not be considered as a recommendation by the Company or any affiliate or other person in relation to the Company or any of its subsidiaries, nor does it constitute an offer to sell or a solicitation for an offer to buy the securities, assets or business of the Company, nor shall there be any sale of securities in any state or jurisdiction in which such offer, solicitation or sale would be unlawful prior to registration or qualification under the securities laws of any such state or jurisdiction or pursuant to an exemption therefrom. This presentation shall not form the basis of any contract. Any references to any future or proposed transaction are for illustrative purposes only and the terms of any such transaction should it occur may be materially different than the terms in this presentation.</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presentation contains forward-looking statements that are subject to risks, uncertainties and other factors. All statements other than statements of historical fact or relating to present facts or current conditions included in this presentation are forward-looking statements. Forward-looking statements give the Company’s current expectations and projections relating to the Company’s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“seek,” “plan,” “intend,” “believe,” “contemplate,” “assume,” “will,” “may,” “could,” “would,” “continue,” “likely,” “should,” and other words and terms of similar meaning in connection with any discussion of the timing or nature of future operating or financial performance or other events but not all forward-looking statements contain these identifying words. Risks, uncertainties and other factors may cause future results to differ materially from these forward-looking statements, and potentially adversely from the historical results contained herein.</w:t>
      </w:r>
    </w:p>
    <w:p>
      <w:pPr>
        <w:spacing w:after="0" w:line="18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You are cautioned not to place undue reliance on the utility of the information in this presentation as a predictor of future performance of the Company, as projected financial and other information are based on estimates and assumptions that are inherently subject to various significant risks, uncertainties and other factors, many of which are beyond the Company’s control.</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information herein speaks only as of (1) the date hereof, in the case of information about the Company and (2) the date of such information, in the case of information from persons other than the Company. The Company does not undertake any duty to update or revise the information contained herein, publicly or otherwise. The Company has not independently verified any third party information and makes no representation as to the accuracy or completeness of any such information.</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THIS PRESENTATION MAY CONTAIN MATERIAL, NON-PUBLIC INFORMATION WITHIN THE MEANING OF THE UNITED STATES FEDERAL SECURITIES LAWS WITH RESPECT TO THE COMPANY AND ITS SUBSIDIARIES AND THEIR RESPECTIVE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6066790</wp:posOffset>
            </wp:positionH>
            <wp:positionV relativeFrom="paragraph">
              <wp:posOffset>119380</wp:posOffset>
            </wp:positionV>
            <wp:extent cx="925830"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830"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Project Monet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Cleansing Materials - FY20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060" w:type="dxa"/>
            <w:vAlign w:val="bottom"/>
            <w:gridSpan w:val="3"/>
          </w:tcPr>
          <w:p>
            <w:pPr>
              <w:ind w:left="1480"/>
              <w:spacing w:after="0"/>
              <w:rPr>
                <w:sz w:val="20"/>
                <w:szCs w:val="20"/>
                <w:color w:val="auto"/>
              </w:rPr>
            </w:pPr>
            <w:r>
              <w:rPr>
                <w:rFonts w:ascii="Arial" w:cs="Arial" w:eastAsia="Arial" w:hAnsi="Arial"/>
                <w:sz w:val="14"/>
                <w:szCs w:val="14"/>
                <w:b w:val="1"/>
                <w:bCs w:val="1"/>
                <w:color w:val="auto"/>
              </w:rPr>
              <w:t>1. Non-GAAP P&amp;L</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Projection</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99"/>
              </w:rPr>
              <w:t>(</w:t>
            </w:r>
            <w:r>
              <w:rPr>
                <w:rFonts w:ascii="Arial" w:cs="Arial" w:eastAsia="Arial" w:hAnsi="Arial"/>
                <w:sz w:val="14"/>
                <w:szCs w:val="14"/>
                <w:i w:val="1"/>
                <w:iCs w:val="1"/>
                <w:color w:val="auto"/>
                <w:w w:val="99"/>
              </w:rPr>
              <w:t>$ in Millions)</w:t>
            </w:r>
          </w:p>
        </w:tc>
        <w:tc>
          <w:tcPr>
            <w:tcW w:w="57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FY20</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 Revenue</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1,729.6</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ind w:left="360"/>
              <w:spacing w:after="0"/>
              <w:rPr>
                <w:sz w:val="20"/>
                <w:szCs w:val="20"/>
                <w:color w:val="auto"/>
              </w:rPr>
            </w:pPr>
            <w:r>
              <w:rPr>
                <w:rFonts w:ascii="Arial" w:cs="Arial" w:eastAsia="Arial" w:hAnsi="Arial"/>
                <w:sz w:val="18"/>
                <w:szCs w:val="18"/>
                <w:color w:val="auto"/>
              </w:rPr>
              <w:t>YoY Growth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r>
              <w:rPr>
                <w:rFonts w:ascii="Arial" w:cs="Arial" w:eastAsia="Arial" w:hAnsi="Arial"/>
                <w:sz w:val="15"/>
                <w:szCs w:val="15"/>
                <w:color w:val="auto"/>
              </w:rPr>
              <w:t>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060" w:type="dxa"/>
            <w:vAlign w:val="bottom"/>
            <w:gridSpan w:val="3"/>
          </w:tcPr>
          <w:p>
            <w:pPr>
              <w:ind w:left="1480"/>
              <w:spacing w:after="0"/>
              <w:rPr>
                <w:sz w:val="20"/>
                <w:szCs w:val="20"/>
                <w:color w:val="auto"/>
              </w:rPr>
            </w:pPr>
            <w:r>
              <w:rPr>
                <w:rFonts w:ascii="Arial" w:cs="Arial" w:eastAsia="Arial" w:hAnsi="Arial"/>
                <w:sz w:val="18"/>
                <w:szCs w:val="18"/>
                <w:b w:val="1"/>
                <w:bCs w:val="1"/>
                <w:color w:val="auto"/>
              </w:rPr>
              <w:t>Gross Margin</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Margin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SG&amp;A</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Risk Adj. EBITDA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80" w:type="dxa"/>
            <w:vAlign w:val="bottom"/>
            <w:gridSpan w:val="2"/>
          </w:tcPr>
          <w:p>
            <w:pPr>
              <w:ind w:left="360"/>
              <w:spacing w:after="0"/>
              <w:rPr>
                <w:sz w:val="20"/>
                <w:szCs w:val="20"/>
                <w:color w:val="auto"/>
              </w:rPr>
            </w:pPr>
            <w:r>
              <w:rPr>
                <w:rFonts w:ascii="Arial" w:cs="Arial" w:eastAsia="Arial" w:hAnsi="Arial"/>
                <w:sz w:val="18"/>
                <w:szCs w:val="18"/>
                <w:color w:val="auto"/>
              </w:rPr>
              <w:t>Risk Adj. Ebitda Margin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7"/>
        </w:trPr>
        <w:tc>
          <w:tcPr>
            <w:tcW w:w="280" w:type="dxa"/>
            <w:vAlign w:val="bottom"/>
          </w:tcPr>
          <w:p>
            <w:pPr>
              <w:spacing w:after="0"/>
              <w:rPr>
                <w:sz w:val="24"/>
                <w:szCs w:val="24"/>
                <w:color w:val="auto"/>
              </w:rPr>
            </w:pPr>
          </w:p>
        </w:tc>
        <w:tc>
          <w:tcPr>
            <w:tcW w:w="8060" w:type="dxa"/>
            <w:vAlign w:val="bottom"/>
            <w:gridSpan w:val="3"/>
          </w:tcPr>
          <w:p>
            <w:pPr>
              <w:ind w:left="1480"/>
              <w:spacing w:after="0"/>
              <w:rPr>
                <w:sz w:val="20"/>
                <w:szCs w:val="20"/>
                <w:color w:val="auto"/>
              </w:rPr>
            </w:pPr>
            <w:r>
              <w:rPr>
                <w:rFonts w:ascii="Arial" w:cs="Arial" w:eastAsia="Arial" w:hAnsi="Arial"/>
                <w:sz w:val="14"/>
                <w:szCs w:val="14"/>
                <w:b w:val="1"/>
                <w:bCs w:val="1"/>
                <w:color w:val="auto"/>
              </w:rPr>
              <w:t>2. Non-GAAP Cash Flow Metrics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Projection</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99"/>
              </w:rPr>
              <w:t>(</w:t>
            </w:r>
            <w:r>
              <w:rPr>
                <w:rFonts w:ascii="Arial" w:cs="Arial" w:eastAsia="Arial" w:hAnsi="Arial"/>
                <w:sz w:val="14"/>
                <w:szCs w:val="14"/>
                <w:i w:val="1"/>
                <w:iCs w:val="1"/>
                <w:color w:val="auto"/>
                <w:w w:val="99"/>
              </w:rPr>
              <w:t>$ in Millions)</w:t>
            </w:r>
          </w:p>
        </w:tc>
        <w:tc>
          <w:tcPr>
            <w:tcW w:w="57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FY20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Risk Adj. EBITDA</w:t>
            </w: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580" w:type="dxa"/>
            <w:vAlign w:val="bottom"/>
            <w:gridSpan w:val="2"/>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Capex</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Cash Interest Expense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Taxes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Proceeds from Debt Financing</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8060" w:type="dxa"/>
            <w:vAlign w:val="bottom"/>
            <w:gridSpan w:val="3"/>
          </w:tcPr>
          <w:p>
            <w:pPr>
              <w:ind w:left="1480"/>
              <w:spacing w:after="0"/>
              <w:rPr>
                <w:sz w:val="20"/>
                <w:szCs w:val="20"/>
                <w:color w:val="auto"/>
              </w:rPr>
            </w:pPr>
            <w:r>
              <w:rPr>
                <w:rFonts w:ascii="Arial" w:cs="Arial" w:eastAsia="Arial" w:hAnsi="Arial"/>
                <w:sz w:val="18"/>
                <w:szCs w:val="18"/>
                <w:b w:val="1"/>
                <w:bCs w:val="1"/>
                <w:color w:val="auto"/>
              </w:rPr>
              <w:t>Net Cash Flow</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8060" w:type="dxa"/>
            <w:vAlign w:val="bottom"/>
            <w:gridSpan w:val="3"/>
          </w:tcPr>
          <w:p>
            <w:pPr>
              <w:ind w:left="140"/>
              <w:spacing w:after="0"/>
              <w:rPr>
                <w:sz w:val="20"/>
                <w:szCs w:val="20"/>
                <w:color w:val="auto"/>
              </w:rPr>
            </w:pPr>
            <w:r>
              <w:rPr>
                <w:rFonts w:ascii="Arial" w:cs="Arial" w:eastAsia="Arial" w:hAnsi="Arial"/>
                <w:sz w:val="18"/>
                <w:szCs w:val="18"/>
                <w:color w:val="auto"/>
              </w:rPr>
              <w:t>COGS excludes rent expense</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2020-05-04T07:04:02Z</dcterms:created>
  <dcterms:modified xsi:type="dcterms:W3CDTF">2020-05-04T07:04:02Z</dcterms:modified>
</cp:coreProperties>
</file>