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169545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156845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J.Crew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159385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333-175075</w:t>
      </w:r>
    </w:p>
    <w:p>
      <w:pPr>
        <w:sectPr>
          <w:pgSz w:w="11900" w:h="16838" w:orient="portrait"/>
          <w:cols w:equalWidth="0" w:num="1">
            <w:col w:w="11420"/>
          </w:cols>
          <w:pgMar w:left="240" w:top="368" w:right="239" w:bottom="1440" w:gutter="0" w:footer="0" w:header="0"/>
        </w:sectPr>
      </w:pPr>
    </w:p>
    <w:p>
      <w:pPr>
        <w:spacing w:after="0" w:line="252"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22-2894486</w:t>
      </w:r>
    </w:p>
    <w:p>
      <w:pPr>
        <w:spacing w:after="0" w:line="31" w:lineRule="exact"/>
        <w:rPr>
          <w:sz w:val="24"/>
          <w:szCs w:val="24"/>
          <w:color w:val="auto"/>
        </w:rPr>
      </w:pPr>
    </w:p>
    <w:p>
      <w:pPr>
        <w:sectPr>
          <w:pgSz w:w="11900" w:h="16838" w:orient="portrait"/>
          <w:cols w:equalWidth="0" w:num="2">
            <w:col w:w="7460" w:space="720"/>
            <w:col w:w="3240"/>
          </w:cols>
          <w:pgMar w:left="240" w:top="368" w:right="239" w:bottom="1440" w:gutter="0" w:footer="0" w:header="0"/>
          <w:type w:val="continuous"/>
        </w:sectPr>
      </w:pPr>
    </w:p>
    <w:p>
      <w:pPr>
        <w:spacing w:after="0" w:line="12" w:lineRule="exact"/>
        <w:rPr>
          <w:sz w:val="24"/>
          <w:szCs w:val="24"/>
          <w:color w:val="auto"/>
        </w:rPr>
      </w:pPr>
    </w:p>
    <w:p>
      <w:pPr>
        <w:jc w:val="center"/>
        <w:ind w:right="1720"/>
        <w:spacing w:after="0"/>
        <w:rPr>
          <w:sz w:val="20"/>
          <w:szCs w:val="20"/>
          <w:color w:val="auto"/>
        </w:rPr>
      </w:pPr>
      <w:r>
        <w:rPr>
          <w:rFonts w:ascii="Arial" w:cs="Arial" w:eastAsia="Arial" w:hAnsi="Arial"/>
          <w:sz w:val="13"/>
          <w:szCs w:val="13"/>
          <w:b w:val="1"/>
          <w:bCs w:val="1"/>
          <w:color w:val="auto"/>
        </w:rPr>
        <w:t>(State or other jurisdiction</w:t>
      </w: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4"/>
          <w:szCs w:val="14"/>
          <w:b w:val="1"/>
          <w:bCs w:val="1"/>
          <w:color w:val="auto"/>
        </w:rPr>
        <w:t>(IRS Employer</w:t>
      </w:r>
    </w:p>
    <w:p>
      <w:pPr>
        <w:jc w:val="center"/>
        <w:ind w:right="2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2">
            <w:col w:w="7340" w:space="720"/>
            <w:col w:w="336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225 Liberty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10281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209-2500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420"/>
          </w:cols>
          <w:pgMar w:left="240" w:top="368" w:right="239" w:bottom="144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142240</wp:posOffset>
            </wp:positionV>
            <wp:extent cx="1149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580" w:type="dxa"/>
            <w:vAlign w:val="bottom"/>
            <w:gridSpan w:val="3"/>
          </w:tcPr>
          <w:p>
            <w:pPr>
              <w:jc w:val="center"/>
              <w:ind w:right="840"/>
              <w:spacing w:after="0"/>
              <w:rPr>
                <w:sz w:val="20"/>
                <w:szCs w:val="20"/>
                <w:color w:val="auto"/>
              </w:rPr>
            </w:pPr>
            <w:r>
              <w:rPr>
                <w:rFonts w:ascii="Arial" w:cs="Arial" w:eastAsia="Arial" w:hAnsi="Arial"/>
                <w:sz w:val="18"/>
                <w:szCs w:val="18"/>
                <w:color w:val="auto"/>
                <w:w w:val="90"/>
              </w:rPr>
              <w:t>Title of each class</w:t>
            </w:r>
          </w:p>
        </w:tc>
        <w:tc>
          <w:tcPr>
            <w:tcW w:w="306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Trading Symbol(s)</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previously announced, on December 2, 2019, Chinos Holdings, Inc. (“Parent”), the ultimate parent of J.Crew Group, Inc. (the “Company”), and certain of Parent’s subsidiaries (collectively, the “J.Crew Parties”) entered into an agreement (the “Original Transaction Support Agreement”) relating to a series of transactions (together, the “Transactions”) with (i) certain holders (such holders, the “Ad Hoc Creditors”) of over a majority of term loans under that certain Amended and Restated Credit Agreement, dated March 5, 2014, among certain J.Crew Parties, the lenders party thereto, and Wilmington Savings Fund Society, FSB as successor administrative agent and (ii) TPG Chinos, L.P., TPG Chinos Co-Invest, L.P., Green Equity Investors V, L.P., Green Equity Investors Side V, L.P. and LGP Chino Coinvest LLC (collectively, the “Sponsors”), which was amended and restated on December 8, 2019 (the Original Transaction Support Agreement as so amended, the “Transaction Support Agreement”). On March 2, 2020, the Company announced that it had entered into an amendment to the Transaction Support Agreement (the “Amendment”) with the Ad Hoc Creditors and the Sponsors. The Amendment eliminates the requirement that the Company commence the proposed initial public offering of the Madewell business (the “Madewell IPO”) on or before March 2, 2020 and extends the outside date by which the Transactions must be completed from March 18, 2020 to April 30, 2020.</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a copy of which is attached hereto as Exhibit 10.1 and is incorporated by reference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herein and in the exhibits attached hereto, are “forward-looking statements” made pursuant to the safe harbor provisions of the Private Securities Litigation Reform Act of 1995. Such forward-looking statements reflect current expectations or beliefs concerning future events, and actual results of operations may differ materially from historical results or current expectations. Any such forward-looking statements are subject to various risks and uncertainties, including risks relating to the Transactions (including the announced Madewell IPO), including risks that a new or amended transaction support agreement is entered into, the Transactions may not be consummated on the terms set forth in the existing, amended or new transaction support agreement or at all, or, if the Transactions are consummated, risks that the anticipated benefits of the Transactions may not be achieved, the Company’s substantial indebtedness, its substantial lease obligations,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the impact of potential global health emergencies such as COVID-19 (coronavirus), including potential negative impacts on the global economy, product demand, foreign sourcing and operations generally, if the Transactions are not consummated, the Company’s continued exploration of strategic alternatives to maximize the value of the Company and the risk that such exploration may not lead to a successful transaction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(c) Not applicable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6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First Amendment to the Amended and Restated Transaction Support Agreement</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3160"/>
              <w:spacing w:after="0"/>
              <w:rPr>
                <w:sz w:val="20"/>
                <w:szCs w:val="20"/>
                <w:color w:val="auto"/>
              </w:rPr>
            </w:pPr>
            <w:r>
              <w:rPr>
                <w:rFonts w:ascii="Arial" w:cs="Arial" w:eastAsia="Arial" w:hAnsi="Arial"/>
                <w:sz w:val="18"/>
                <w:szCs w:val="18"/>
                <w:color w:val="auto"/>
              </w:rPr>
              <w:t>J.CREW GROUP, INC.</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March 2, 2020</w:t>
            </w:r>
          </w:p>
        </w:tc>
        <w:tc>
          <w:tcPr>
            <w:tcW w:w="7840" w:type="dxa"/>
            <w:vAlign w:val="bottom"/>
            <w:gridSpan w:val="2"/>
          </w:tcPr>
          <w:p>
            <w:pPr>
              <w:ind w:left="3160"/>
              <w:spacing w:after="0"/>
              <w:rPr>
                <w:sz w:val="20"/>
                <w:szCs w:val="20"/>
                <w:color w:val="auto"/>
              </w:rPr>
            </w:pPr>
            <w:r>
              <w:rPr>
                <w:rFonts w:ascii="Arial" w:cs="Arial" w:eastAsia="Arial" w:hAnsi="Arial"/>
                <w:sz w:val="18"/>
                <w:szCs w:val="18"/>
                <w:color w:val="auto"/>
              </w:rPr>
              <w:t>By:  /s/ V</w:t>
            </w:r>
            <w:r>
              <w:rPr>
                <w:rFonts w:ascii="Arial" w:cs="Arial" w:eastAsia="Arial" w:hAnsi="Arial"/>
                <w:sz w:val="13"/>
                <w:szCs w:val="13"/>
                <w:color w:val="auto"/>
              </w:rPr>
              <w:t>INCENT</w:t>
            </w:r>
            <w:r>
              <w:rPr>
                <w:rFonts w:ascii="Arial" w:cs="Arial" w:eastAsia="Arial" w:hAnsi="Arial"/>
                <w:sz w:val="18"/>
                <w:szCs w:val="18"/>
                <w:color w:val="auto"/>
              </w:rPr>
              <w:t xml:space="preserve"> Z</w:t>
            </w:r>
            <w:r>
              <w:rPr>
                <w:rFonts w:ascii="Arial" w:cs="Arial" w:eastAsia="Arial" w:hAnsi="Arial"/>
                <w:sz w:val="13"/>
                <w:szCs w:val="13"/>
                <w:color w:val="auto"/>
              </w:rPr>
              <w:t>ANNA</w:t>
            </w:r>
          </w:p>
        </w:tc>
      </w:tr>
      <w:tr>
        <w:trPr>
          <w:trHeight w:val="195"/>
        </w:trPr>
        <w:tc>
          <w:tcPr>
            <w:tcW w:w="3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Vincent Zanna</w:t>
            </w:r>
          </w:p>
        </w:tc>
      </w:tr>
      <w:tr>
        <w:trPr>
          <w:trHeight w:val="230"/>
        </w:trPr>
        <w:tc>
          <w:tcPr>
            <w:tcW w:w="3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891"/>
        </w:trPr>
        <w:tc>
          <w:tcPr>
            <w:tcW w:w="3580" w:type="dxa"/>
            <w:vAlign w:val="bottom"/>
          </w:tcPr>
          <w:p>
            <w:pPr>
              <w:spacing w:after="0"/>
              <w:rPr>
                <w:sz w:val="24"/>
                <w:szCs w:val="24"/>
                <w:color w:val="auto"/>
              </w:rPr>
            </w:pPr>
          </w:p>
        </w:tc>
        <w:tc>
          <w:tcPr>
            <w:tcW w:w="3540" w:type="dxa"/>
            <w:vAlign w:val="bottom"/>
          </w:tcPr>
          <w:p>
            <w:pPr>
              <w:jc w:val="right"/>
              <w:ind w:right="1270"/>
              <w:spacing w:after="0"/>
              <w:rPr>
                <w:sz w:val="20"/>
                <w:szCs w:val="20"/>
                <w:color w:val="auto"/>
              </w:rPr>
            </w:pPr>
            <w:r>
              <w:rPr>
                <w:rFonts w:ascii="Arial" w:cs="Arial" w:eastAsia="Arial" w:hAnsi="Arial"/>
                <w:sz w:val="18"/>
                <w:szCs w:val="18"/>
                <w:color w:val="auto"/>
              </w:rPr>
              <w:t>3</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FIRST AMENDMENT TO THE AMENDED AND RESTATED</w:t>
      </w:r>
    </w:p>
    <w:p>
      <w:pPr>
        <w:jc w:val="center"/>
        <w:spacing w:after="0"/>
        <w:rPr>
          <w:sz w:val="20"/>
          <w:szCs w:val="20"/>
          <w:color w:val="auto"/>
        </w:rPr>
      </w:pPr>
      <w:r>
        <w:rPr>
          <w:rFonts w:ascii="Arial" w:cs="Arial" w:eastAsia="Arial" w:hAnsi="Arial"/>
          <w:sz w:val="22"/>
          <w:szCs w:val="22"/>
          <w:b w:val="1"/>
          <w:bCs w:val="1"/>
          <w:u w:val="single" w:color="auto"/>
          <w:color w:val="auto"/>
        </w:rPr>
        <w:t>TRANSACTION SUPPORT AGREEMENT</w:t>
      </w:r>
    </w:p>
    <w:p>
      <w:pPr>
        <w:spacing w:after="0" w:line="182"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21"/>
          <w:szCs w:val="21"/>
          <w:color w:val="auto"/>
        </w:rPr>
        <w:t>This first amendment (this “</w:t>
      </w:r>
      <w:r>
        <w:rPr>
          <w:rFonts w:ascii="Arial" w:cs="Arial" w:eastAsia="Arial" w:hAnsi="Arial"/>
          <w:sz w:val="21"/>
          <w:szCs w:val="21"/>
          <w:b w:val="1"/>
          <w:bCs w:val="1"/>
          <w:color w:val="auto"/>
        </w:rPr>
        <w:t>Amendment</w:t>
      </w:r>
      <w:r>
        <w:rPr>
          <w:rFonts w:ascii="Arial" w:cs="Arial" w:eastAsia="Arial" w:hAnsi="Arial"/>
          <w:sz w:val="21"/>
          <w:szCs w:val="21"/>
          <w:color w:val="auto"/>
        </w:rPr>
        <w:t xml:space="preserve">”) to the </w:t>
      </w:r>
      <w:r>
        <w:rPr>
          <w:rFonts w:ascii="Arial" w:cs="Arial" w:eastAsia="Arial" w:hAnsi="Arial"/>
          <w:sz w:val="21"/>
          <w:szCs w:val="21"/>
          <w:i w:val="1"/>
          <w:iCs w:val="1"/>
          <w:color w:val="auto"/>
        </w:rPr>
        <w:t>Amended and Restated Transaction Support Agreement</w:t>
      </w:r>
      <w:r>
        <w:rPr>
          <w:rFonts w:ascii="Arial" w:cs="Arial" w:eastAsia="Arial" w:hAnsi="Arial"/>
          <w:sz w:val="21"/>
          <w:szCs w:val="21"/>
          <w:color w:val="auto"/>
        </w:rPr>
        <w:t xml:space="preserve"> dated December 8, 2019 (the “</w:t>
      </w:r>
      <w:r>
        <w:rPr>
          <w:rFonts w:ascii="Arial" w:cs="Arial" w:eastAsia="Arial" w:hAnsi="Arial"/>
          <w:sz w:val="21"/>
          <w:szCs w:val="21"/>
          <w:b w:val="1"/>
          <w:bCs w:val="1"/>
          <w:color w:val="auto"/>
        </w:rPr>
        <w:t>TSA</w:t>
      </w:r>
      <w:r>
        <w:rPr>
          <w:rFonts w:ascii="Arial" w:cs="Arial" w:eastAsia="Arial" w:hAnsi="Arial"/>
          <w:sz w:val="21"/>
          <w:szCs w:val="21"/>
          <w:color w:val="auto"/>
        </w:rPr>
        <w:t>”)</w:t>
      </w:r>
      <w:r>
        <w:rPr>
          <w:rFonts w:ascii="Arial" w:cs="Arial" w:eastAsia="Arial" w:hAnsi="Arial"/>
          <w:sz w:val="17"/>
          <w:szCs w:val="17"/>
          <w:color w:val="auto"/>
        </w:rPr>
        <w:t>1</w:t>
      </w:r>
      <w:r>
        <w:rPr>
          <w:rFonts w:ascii="Arial" w:cs="Arial" w:eastAsia="Arial" w:hAnsi="Arial"/>
          <w:sz w:val="21"/>
          <w:szCs w:val="21"/>
          <w:color w:val="auto"/>
        </w:rPr>
        <w:t xml:space="preserve"> is made and entered into as of March 2, 2020, by and among the Company, the undersigned Consenting Support Parties constituting the Requisite Consenting Support Parties, and the Sponsors.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parties to this Amendment desire to amend the TSA and modify the Commencement Date and Outside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8"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 xml:space="preserve">WHEREAS,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of the TSA provides that dates in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may be extended by mutual agreement among the Company, the Requisite Consenting Support Parties, and the Sponsors, and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TSA further provides that the TSA may be modified, amended, or supplemented in a writing signed by the same parties.</w:t>
      </w:r>
    </w:p>
    <w:p>
      <w:pPr>
        <w:spacing w:after="0" w:line="167"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NOW, THEREFORE, in consideration of the covenants and agreements contained herein, for other valuable consideration, the receipt and sufficiency of which are hereby acknowledged, each Party, intending to be legally bound hereby, agrees to amend the TSA as follows:</w:t>
      </w:r>
    </w:p>
    <w:p>
      <w:pPr>
        <w:spacing w:after="0" w:line="186" w:lineRule="exact"/>
        <w:rPr>
          <w:sz w:val="20"/>
          <w:szCs w:val="20"/>
          <w:color w:val="auto"/>
        </w:rPr>
      </w:pPr>
    </w:p>
    <w:p>
      <w:pPr>
        <w:ind w:left="1700" w:hanging="815"/>
        <w:spacing w:after="0"/>
        <w:tabs>
          <w:tab w:leader="none" w:pos="1700"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Amendment to TSA</w:t>
      </w:r>
      <w:r>
        <w:rPr>
          <w:rFonts w:ascii="Arial" w:cs="Arial" w:eastAsia="Arial" w:hAnsi="Arial"/>
          <w:sz w:val="22"/>
          <w:szCs w:val="22"/>
          <w:color w:val="auto"/>
        </w:rPr>
        <w:t>. The TSA is amended as follows:</w:t>
      </w:r>
    </w:p>
    <w:p>
      <w:pPr>
        <w:spacing w:after="0" w:line="206" w:lineRule="exact"/>
        <w:rPr>
          <w:rFonts w:ascii="Arial" w:cs="Arial" w:eastAsia="Arial" w:hAnsi="Arial"/>
          <w:sz w:val="22"/>
          <w:szCs w:val="22"/>
          <w:color w:val="auto"/>
        </w:rPr>
      </w:pPr>
    </w:p>
    <w:p>
      <w:pPr>
        <w:ind w:left="900" w:hanging="892"/>
        <w:spacing w:after="0"/>
        <w:tabs>
          <w:tab w:leader="none" w:pos="90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reference to “March 2, 2020” in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is deemed replaced with “April 14, 2020”</w:t>
      </w:r>
    </w:p>
    <w:p>
      <w:pPr>
        <w:spacing w:after="0" w:line="206" w:lineRule="exact"/>
        <w:rPr>
          <w:rFonts w:ascii="Arial" w:cs="Arial" w:eastAsia="Arial" w:hAnsi="Arial"/>
          <w:sz w:val="22"/>
          <w:szCs w:val="22"/>
          <w:color w:val="auto"/>
        </w:rPr>
      </w:pPr>
    </w:p>
    <w:p>
      <w:pPr>
        <w:ind w:left="900" w:hanging="892"/>
        <w:spacing w:after="0"/>
        <w:tabs>
          <w:tab w:leader="none" w:pos="90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Section 7.02(a)</w:t>
      </w:r>
      <w:r>
        <w:rPr>
          <w:rFonts w:ascii="Arial" w:cs="Arial" w:eastAsia="Arial" w:hAnsi="Arial"/>
          <w:sz w:val="22"/>
          <w:szCs w:val="22"/>
          <w:color w:val="auto"/>
        </w:rPr>
        <w:t xml:space="preserve"> is deleted and replaced with the following:</w:t>
      </w:r>
    </w:p>
    <w:p>
      <w:pPr>
        <w:spacing w:after="0" w:line="206" w:lineRule="exact"/>
        <w:rPr>
          <w:sz w:val="20"/>
          <w:szCs w:val="20"/>
          <w:color w:val="auto"/>
        </w:rPr>
      </w:pPr>
    </w:p>
    <w:p>
      <w:pPr>
        <w:jc w:val="both"/>
        <w:ind w:left="880" w:right="880"/>
        <w:spacing w:after="0" w:line="252" w:lineRule="auto"/>
        <w:rPr>
          <w:sz w:val="20"/>
          <w:szCs w:val="20"/>
          <w:color w:val="auto"/>
        </w:rPr>
      </w:pPr>
      <w:r>
        <w:rPr>
          <w:rFonts w:ascii="Arial" w:cs="Arial" w:eastAsia="Arial" w:hAnsi="Arial"/>
          <w:sz w:val="21"/>
          <w:szCs w:val="21"/>
          <w:color w:val="auto"/>
        </w:rPr>
        <w:t xml:space="preserve">“the Commencement Date has not occurred by 11:59 p.m. (Eastern Time) on April 14, 2020;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at any time on and after March 16, 2020, any Initial Consenting Support Party may elect, in its sole discretion, to terminate this Agreement as to all Parties by providing 48 hours advance written notice to the Company, the Sponsors and the other Initial Consenting Support Parties of such election;”</w:t>
      </w:r>
    </w:p>
    <w:p>
      <w:pPr>
        <w:spacing w:after="0" w:line="174" w:lineRule="exact"/>
        <w:rPr>
          <w:sz w:val="20"/>
          <w:szCs w:val="20"/>
          <w:color w:val="auto"/>
        </w:rPr>
      </w:pPr>
    </w:p>
    <w:p>
      <w:pPr>
        <w:ind w:left="900" w:hanging="892"/>
        <w:spacing w:after="0"/>
        <w:tabs>
          <w:tab w:leader="none" w:pos="9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Section 7.02(c)</w:t>
      </w:r>
      <w:r>
        <w:rPr>
          <w:rFonts w:ascii="Arial" w:cs="Arial" w:eastAsia="Arial" w:hAnsi="Arial"/>
          <w:sz w:val="22"/>
          <w:szCs w:val="22"/>
          <w:color w:val="auto"/>
        </w:rPr>
        <w:t xml:space="preserve"> is deleted and replaced with the following:</w:t>
      </w:r>
    </w:p>
    <w:p>
      <w:pPr>
        <w:spacing w:after="0" w:line="200"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“the Closing has not occurred by 11:59 p.m. (Eastern Time) on April 30, 2020 (the “</w:t>
      </w:r>
      <w:r>
        <w:rPr>
          <w:rFonts w:ascii="Arial" w:cs="Arial" w:eastAsia="Arial" w:hAnsi="Arial"/>
          <w:sz w:val="22"/>
          <w:szCs w:val="22"/>
          <w:b w:val="1"/>
          <w:bCs w:val="1"/>
          <w:color w:val="auto"/>
        </w:rPr>
        <w:t>Outside Date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800" w:right="1680" w:hanging="792"/>
        <w:spacing w:after="0" w:line="251" w:lineRule="auto"/>
        <w:tabs>
          <w:tab w:leader="none" w:pos="80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Section 7.03(k) is modified by deleting the last word “or”; 7.03(</w:t>
      </w:r>
      <w:r>
        <w:rPr>
          <w:rFonts w:ascii="Arial" w:cs="Arial" w:eastAsia="Arial" w:hAnsi="Arial"/>
          <w:sz w:val="22"/>
          <w:szCs w:val="22"/>
          <w:i w:val="1"/>
          <w:iCs w:val="1"/>
          <w:color w:val="auto"/>
        </w:rPr>
        <w:t>l</w:t>
      </w:r>
      <w:r>
        <w:rPr>
          <w:rFonts w:ascii="Arial" w:cs="Arial" w:eastAsia="Arial" w:hAnsi="Arial"/>
          <w:sz w:val="22"/>
          <w:szCs w:val="22"/>
          <w:color w:val="auto"/>
        </w:rPr>
        <w:t xml:space="preserve">) is modified by replacing the period with a “; or”; and the following is inserted as </w:t>
      </w:r>
      <w:r>
        <w:rPr>
          <w:rFonts w:ascii="Arial" w:cs="Arial" w:eastAsia="Arial" w:hAnsi="Arial"/>
          <w:sz w:val="22"/>
          <w:szCs w:val="22"/>
          <w:u w:val="single" w:color="auto"/>
          <w:color w:val="auto"/>
        </w:rPr>
        <w:t>Section 7.03(m)</w:t>
      </w:r>
      <w:r>
        <w:rPr>
          <w:rFonts w:ascii="Arial" w:cs="Arial" w:eastAsia="Arial" w:hAnsi="Arial"/>
          <w:sz w:val="22"/>
          <w:szCs w:val="22"/>
          <w:color w:val="auto"/>
        </w:rPr>
        <w:t>:</w:t>
      </w:r>
    </w:p>
    <w:p>
      <w:pPr>
        <w:spacing w:after="0" w:line="34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5"/>
          <w:szCs w:val="15"/>
          <w:color w:val="auto"/>
        </w:rPr>
      </w:pPr>
      <w:r>
        <w:rPr>
          <w:rFonts w:ascii="Arial" w:cs="Arial" w:eastAsia="Arial" w:hAnsi="Arial"/>
          <w:sz w:val="18"/>
          <w:szCs w:val="18"/>
          <w:color w:val="auto"/>
        </w:rPr>
        <w:t>Capitalized terms used herein but not otherwise defined have the meanings given to them in the 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9"/>
          <w:szCs w:val="9"/>
          <w:color w:val="FFFFFF"/>
        </w:rPr>
        <w:t>44670.00001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ind w:left="872" w:right="880"/>
        <w:spacing w:after="0" w:line="238" w:lineRule="auto"/>
        <w:rPr>
          <w:sz w:val="20"/>
          <w:szCs w:val="20"/>
          <w:color w:val="auto"/>
        </w:rPr>
      </w:pPr>
      <w:r>
        <w:rPr>
          <w:rFonts w:ascii="Arial" w:cs="Arial" w:eastAsia="Arial" w:hAnsi="Arial"/>
          <w:sz w:val="22"/>
          <w:szCs w:val="22"/>
          <w:color w:val="auto"/>
        </w:rPr>
        <w:t xml:space="preserve">“the Commencement Date has not occurred by 11:59 p.m. (Eastern Time) on April 14, 2020;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at any time on and after March 16, 2020, the Company may elect, in its sole discretion, to terminate this Agreement as to all Parties by providing 48 hours advance written notice to the Consenting Support Parties and the Sponsors of such election.”</w:t>
      </w:r>
    </w:p>
    <w:p>
      <w:pPr>
        <w:spacing w:after="0" w:line="185" w:lineRule="exact"/>
        <w:rPr>
          <w:sz w:val="20"/>
          <w:szCs w:val="20"/>
          <w:color w:val="auto"/>
        </w:rPr>
      </w:pPr>
    </w:p>
    <w:p>
      <w:pPr>
        <w:ind w:left="792" w:hanging="792"/>
        <w:spacing w:after="0"/>
        <w:tabs>
          <w:tab w:leader="none" w:pos="792"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Section 7.04(a)</w:t>
      </w:r>
      <w:r>
        <w:rPr>
          <w:rFonts w:ascii="Arial" w:cs="Arial" w:eastAsia="Arial" w:hAnsi="Arial"/>
          <w:sz w:val="22"/>
          <w:szCs w:val="22"/>
          <w:color w:val="auto"/>
        </w:rPr>
        <w:t xml:space="preserve"> is deleted and replaced with the following:</w:t>
      </w:r>
    </w:p>
    <w:p>
      <w:pPr>
        <w:spacing w:after="0" w:line="206" w:lineRule="exact"/>
        <w:rPr>
          <w:sz w:val="20"/>
          <w:szCs w:val="20"/>
          <w:color w:val="auto"/>
        </w:rPr>
      </w:pPr>
    </w:p>
    <w:p>
      <w:pPr>
        <w:jc w:val="both"/>
        <w:ind w:left="872" w:right="880"/>
        <w:spacing w:after="0" w:line="238" w:lineRule="auto"/>
        <w:rPr>
          <w:sz w:val="20"/>
          <w:szCs w:val="20"/>
          <w:color w:val="auto"/>
        </w:rPr>
      </w:pPr>
      <w:r>
        <w:rPr>
          <w:rFonts w:ascii="Arial" w:cs="Arial" w:eastAsia="Arial" w:hAnsi="Arial"/>
          <w:sz w:val="22"/>
          <w:szCs w:val="22"/>
          <w:color w:val="auto"/>
        </w:rPr>
        <w:t xml:space="preserve">“the Commencement Date has not occurred by 11:59 p.m. (Eastern Time) on April 14, 2020;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at any time on and after March 16, 2020, the Sponsors may elect, in their sole discretion, to terminate this Agreement as to all Parties by providing 48 hours advance written notice to the Company and the Initial Consenting Support Parties of such election;”</w:t>
      </w:r>
    </w:p>
    <w:p>
      <w:pPr>
        <w:spacing w:after="0" w:line="185" w:lineRule="exact"/>
        <w:rPr>
          <w:sz w:val="20"/>
          <w:szCs w:val="20"/>
          <w:color w:val="auto"/>
        </w:rPr>
      </w:pPr>
    </w:p>
    <w:p>
      <w:pPr>
        <w:ind w:left="872" w:hanging="872"/>
        <w:spacing w:after="0"/>
        <w:tabs>
          <w:tab w:leader="none" w:pos="872"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The following is inserted as the last sentence of </w:t>
      </w:r>
      <w:r>
        <w:rPr>
          <w:rFonts w:ascii="Arial" w:cs="Arial" w:eastAsia="Arial" w:hAnsi="Arial"/>
          <w:sz w:val="22"/>
          <w:szCs w:val="22"/>
          <w:u w:val="single" w:color="auto"/>
          <w:color w:val="auto"/>
        </w:rPr>
        <w:t>Section 7.06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72" w:right="880"/>
        <w:spacing w:after="0" w:line="238" w:lineRule="auto"/>
        <w:rPr>
          <w:rFonts w:ascii="Arial" w:cs="Arial" w:eastAsia="Arial" w:hAnsi="Arial"/>
          <w:sz w:val="22"/>
          <w:szCs w:val="22"/>
          <w:color w:val="auto"/>
        </w:rPr>
      </w:pPr>
      <w:r>
        <w:rPr>
          <w:rFonts w:ascii="Arial" w:cs="Arial" w:eastAsia="Arial" w:hAnsi="Arial"/>
          <w:sz w:val="22"/>
          <w:szCs w:val="22"/>
          <w:color w:val="auto"/>
        </w:rPr>
        <w:t>“Each Party acknowledges and agrees that no other Party shall have any liability at law or equity, including, without limitation, for any special, indirect, punitive, or consequential damages in contract, tort, warranty, strict liability or otherwise, for any Party’s election to terminate this Agreement in compliance with the terms hereof.”</w:t>
      </w:r>
    </w:p>
    <w:p>
      <w:pPr>
        <w:spacing w:after="0" w:line="185" w:lineRule="exact"/>
        <w:rPr>
          <w:rFonts w:ascii="Arial" w:cs="Arial" w:eastAsia="Arial" w:hAnsi="Arial"/>
          <w:sz w:val="22"/>
          <w:szCs w:val="22"/>
          <w:color w:val="auto"/>
        </w:rPr>
      </w:pPr>
    </w:p>
    <w:p>
      <w:pPr>
        <w:jc w:val="both"/>
        <w:ind w:left="-8" w:firstLine="885"/>
        <w:spacing w:after="0" w:line="235" w:lineRule="auto"/>
        <w:tabs>
          <w:tab w:leader="none" w:pos="1680"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Effectiveness of Amendment</w:t>
      </w:r>
      <w:r>
        <w:rPr>
          <w:rFonts w:ascii="Arial" w:cs="Arial" w:eastAsia="Arial" w:hAnsi="Arial"/>
          <w:sz w:val="22"/>
          <w:szCs w:val="22"/>
          <w:color w:val="auto"/>
        </w:rPr>
        <w:t>. This Amendment shall be effective on the date hereof and at the time when all counterpart signatures to this Amendment have been executed and delivered by the Company, the Required Consenting Support Parties, and the Sponsors. Upon effectiveness of this Amendment, whenever the TSA is referred to in any agreements, documents, and instruments, such reference shall be deemed to be to the TSA as amended by this Amendment. All references to the “Agreement”, “herein”, “hereof”, “hereto” or words of similar import in the TSA shall be deemed to include the TSA as amended by this Amendment.</w:t>
      </w:r>
    </w:p>
    <w:p>
      <w:pPr>
        <w:spacing w:after="0" w:line="188" w:lineRule="exact"/>
        <w:rPr>
          <w:rFonts w:ascii="Arial" w:cs="Arial" w:eastAsia="Arial" w:hAnsi="Arial"/>
          <w:sz w:val="22"/>
          <w:szCs w:val="22"/>
          <w:color w:val="auto"/>
        </w:rPr>
      </w:pPr>
    </w:p>
    <w:p>
      <w:pPr>
        <w:ind w:left="-8" w:firstLine="885"/>
        <w:spacing w:after="0" w:line="328" w:lineRule="auto"/>
        <w:tabs>
          <w:tab w:leader="none" w:pos="1680"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Waiver of Any Termination Rights.</w:t>
      </w:r>
      <w:r>
        <w:rPr>
          <w:rFonts w:ascii="Arial" w:cs="Arial" w:eastAsia="Arial" w:hAnsi="Arial"/>
          <w:sz w:val="19"/>
          <w:szCs w:val="19"/>
          <w:color w:val="auto"/>
        </w:rPr>
        <w:t xml:space="preserve"> This Amendment is being effectuated in accordance with the TSA and, therefore, shall not constitute a termination event thereunder or otherwise constitute a breach by any of the Parties under the TSA.</w:t>
      </w:r>
    </w:p>
    <w:p>
      <w:pPr>
        <w:spacing w:after="0" w:line="105" w:lineRule="exact"/>
        <w:rPr>
          <w:rFonts w:ascii="Arial" w:cs="Arial" w:eastAsia="Arial" w:hAnsi="Arial"/>
          <w:sz w:val="19"/>
          <w:szCs w:val="19"/>
          <w:color w:val="auto"/>
        </w:rPr>
      </w:pPr>
    </w:p>
    <w:p>
      <w:pPr>
        <w:ind w:left="-8" w:firstLine="885"/>
        <w:spacing w:after="0" w:line="251" w:lineRule="auto"/>
        <w:tabs>
          <w:tab w:leader="none" w:pos="1680"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Titles and headings in this Amendment are inserted for convenience of reference only and are not intended to affect the interpretation of construction of this Amendment.</w:t>
      </w:r>
    </w:p>
    <w:p>
      <w:pPr>
        <w:spacing w:after="0" w:line="173" w:lineRule="exact"/>
        <w:rPr>
          <w:rFonts w:ascii="Arial" w:cs="Arial" w:eastAsia="Arial" w:hAnsi="Arial"/>
          <w:sz w:val="22"/>
          <w:szCs w:val="22"/>
          <w:color w:val="auto"/>
        </w:rPr>
      </w:pPr>
    </w:p>
    <w:p>
      <w:pPr>
        <w:jc w:val="both"/>
        <w:ind w:left="-8" w:firstLine="885"/>
        <w:spacing w:after="0"/>
        <w:tabs>
          <w:tab w:leader="none" w:pos="1680"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Amendment may be signed in one or more counterparts (including by means of facsimile, electronic mail, or PDF signature pages), each of which need not contain the signature of all Parties hereto, and all of such counterparts taken together shall constitute a single agreement.</w:t>
      </w:r>
    </w:p>
    <w:p>
      <w:pPr>
        <w:spacing w:after="0" w:line="186" w:lineRule="exact"/>
        <w:rPr>
          <w:rFonts w:ascii="Arial" w:cs="Arial" w:eastAsia="Arial" w:hAnsi="Arial"/>
          <w:sz w:val="22"/>
          <w:szCs w:val="22"/>
          <w:color w:val="auto"/>
        </w:rPr>
      </w:pPr>
    </w:p>
    <w:p>
      <w:pPr>
        <w:jc w:val="both"/>
        <w:ind w:left="-8" w:firstLine="885"/>
        <w:spacing w:after="0"/>
        <w:tabs>
          <w:tab w:leader="none" w:pos="1680"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 applicable to contracts made and to be performed in such state, without giving effect to the conflict of laws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702310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1" w:right="239" w:bottom="1440" w:gutter="0" w:footer="0" w:header="0"/>
        </w:sectPr>
      </w:pPr>
    </w:p>
    <w:bookmarkStart w:id="5" w:name="page6"/>
    <w:bookmarkEnd w:id="5"/>
    <w:p>
      <w:pPr>
        <w:jc w:val="both"/>
        <w:ind w:right="20" w:firstLine="1755"/>
        <w:spacing w:after="0"/>
        <w:rPr>
          <w:sz w:val="20"/>
          <w:szCs w:val="20"/>
          <w:color w:val="auto"/>
        </w:rPr>
      </w:pPr>
      <w:r>
        <w:rPr>
          <w:rFonts w:ascii="Arial" w:cs="Arial" w:eastAsia="Arial" w:hAnsi="Arial"/>
          <w:sz w:val="22"/>
          <w:szCs w:val="22"/>
          <w:color w:val="auto"/>
        </w:rPr>
        <w:t>IN WITNESS WHEREOF, the parties hereto have caused this Amendment to be executed and delivered by their respective duly authorized officers, solely in their respective capacity as officers of the undersigned and not in any other capacity.</w:t>
      </w:r>
    </w:p>
    <w:p>
      <w:pPr>
        <w:spacing w:after="0" w:line="200" w:lineRule="exact"/>
        <w:rPr>
          <w:sz w:val="20"/>
          <w:szCs w:val="20"/>
          <w:color w:val="auto"/>
        </w:rPr>
      </w:pPr>
    </w:p>
    <w:p>
      <w:pPr>
        <w:spacing w:after="0" w:line="230"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CHINOS HOLDINGS, INC.</w:t>
      </w:r>
    </w:p>
    <w:p>
      <w:pPr>
        <w:spacing w:after="0" w:line="200" w:lineRule="exact"/>
        <w:rPr>
          <w:sz w:val="20"/>
          <w:szCs w:val="20"/>
          <w:color w:val="auto"/>
        </w:rPr>
      </w:pPr>
    </w:p>
    <w:p>
      <w:pPr>
        <w:spacing w:after="0" w:line="276" w:lineRule="exact"/>
        <w:rPr>
          <w:sz w:val="20"/>
          <w:szCs w:val="20"/>
          <w:color w:val="auto"/>
        </w:rPr>
      </w:pPr>
    </w:p>
    <w:tbl>
      <w:tblPr>
        <w:tblLayout w:type="fixed"/>
        <w:tblInd w:w="4840" w:type="dxa"/>
        <w:tblCellMar>
          <w:top w:w="0" w:type="dxa"/>
          <w:left w:w="0" w:type="dxa"/>
          <w:bottom w:w="0" w:type="dxa"/>
          <w:right w:w="0" w:type="dxa"/>
        </w:tblCellMar>
      </w:tblPr>
      <w:tr>
        <w:trPr>
          <w:trHeight w:val="26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Vincent Zanna</w:t>
            </w:r>
          </w:p>
        </w:tc>
      </w:tr>
      <w:tr>
        <w:trPr>
          <w:trHeight w:val="215"/>
        </w:trPr>
        <w:tc>
          <w:tcPr>
            <w:tcW w:w="700" w:type="dxa"/>
            <w:vAlign w:val="bottom"/>
          </w:tcPr>
          <w:p>
            <w:pPr>
              <w:spacing w:after="0"/>
              <w:rPr>
                <w:sz w:val="18"/>
                <w:szCs w:val="18"/>
                <w:color w:val="auto"/>
              </w:rPr>
            </w:pPr>
          </w:p>
        </w:tc>
        <w:tc>
          <w:tcPr>
            <w:tcW w:w="5560" w:type="dxa"/>
            <w:vAlign w:val="bottom"/>
          </w:tcPr>
          <w:p>
            <w:pPr>
              <w:spacing w:after="0" w:line="216" w:lineRule="exact"/>
              <w:rPr>
                <w:sz w:val="20"/>
                <w:szCs w:val="20"/>
                <w:color w:val="auto"/>
              </w:rPr>
            </w:pPr>
            <w:r>
              <w:rPr>
                <w:rFonts w:ascii="Arial" w:cs="Arial" w:eastAsia="Arial" w:hAnsi="Arial"/>
                <w:sz w:val="22"/>
                <w:szCs w:val="22"/>
                <w:color w:val="auto"/>
              </w:rPr>
              <w:t>Name: Vincent Zanna</w:t>
            </w:r>
          </w:p>
        </w:tc>
      </w:tr>
      <w:tr>
        <w:trPr>
          <w:trHeight w:val="275"/>
        </w:trPr>
        <w:tc>
          <w:tcPr>
            <w:tcW w:w="7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22"/>
                <w:szCs w:val="22"/>
                <w:color w:val="auto"/>
              </w:rPr>
              <w:t>Title: Chief Financial Officer and Treasurer</w:t>
            </w:r>
          </w:p>
        </w:tc>
      </w:tr>
    </w:tbl>
    <w:p>
      <w:pPr>
        <w:spacing w:after="0" w:line="200" w:lineRule="exact"/>
        <w:rPr>
          <w:sz w:val="20"/>
          <w:szCs w:val="20"/>
          <w:color w:val="auto"/>
        </w:rPr>
      </w:pPr>
    </w:p>
    <w:p>
      <w:pPr>
        <w:spacing w:after="0" w:line="25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CHINOS INTERMEDIATE HOLDINGS A, INC.</w:t>
      </w:r>
    </w:p>
    <w:p>
      <w:pPr>
        <w:spacing w:after="0" w:line="200" w:lineRule="exact"/>
        <w:rPr>
          <w:sz w:val="20"/>
          <w:szCs w:val="20"/>
          <w:color w:val="auto"/>
        </w:rPr>
      </w:pPr>
    </w:p>
    <w:p>
      <w:pPr>
        <w:spacing w:after="0" w:line="276" w:lineRule="exact"/>
        <w:rPr>
          <w:sz w:val="20"/>
          <w:szCs w:val="20"/>
          <w:color w:val="auto"/>
        </w:rPr>
      </w:pPr>
    </w:p>
    <w:tbl>
      <w:tblPr>
        <w:tblLayout w:type="fixed"/>
        <w:tblInd w:w="4840" w:type="dxa"/>
        <w:tblCellMar>
          <w:top w:w="0" w:type="dxa"/>
          <w:left w:w="0" w:type="dxa"/>
          <w:bottom w:w="0" w:type="dxa"/>
          <w:right w:w="0" w:type="dxa"/>
        </w:tblCellMar>
      </w:tblPr>
      <w:tr>
        <w:trPr>
          <w:trHeight w:val="26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Vincent Zanna</w:t>
            </w:r>
          </w:p>
        </w:tc>
      </w:tr>
      <w:tr>
        <w:trPr>
          <w:trHeight w:val="215"/>
        </w:trPr>
        <w:tc>
          <w:tcPr>
            <w:tcW w:w="700" w:type="dxa"/>
            <w:vAlign w:val="bottom"/>
          </w:tcPr>
          <w:p>
            <w:pPr>
              <w:spacing w:after="0"/>
              <w:rPr>
                <w:sz w:val="18"/>
                <w:szCs w:val="18"/>
                <w:color w:val="auto"/>
              </w:rPr>
            </w:pPr>
          </w:p>
        </w:tc>
        <w:tc>
          <w:tcPr>
            <w:tcW w:w="5560" w:type="dxa"/>
            <w:vAlign w:val="bottom"/>
          </w:tcPr>
          <w:p>
            <w:pPr>
              <w:spacing w:after="0" w:line="216" w:lineRule="exact"/>
              <w:rPr>
                <w:sz w:val="20"/>
                <w:szCs w:val="20"/>
                <w:color w:val="auto"/>
              </w:rPr>
            </w:pPr>
            <w:r>
              <w:rPr>
                <w:rFonts w:ascii="Arial" w:cs="Arial" w:eastAsia="Arial" w:hAnsi="Arial"/>
                <w:sz w:val="22"/>
                <w:szCs w:val="22"/>
                <w:color w:val="auto"/>
              </w:rPr>
              <w:t>Name: Vincent Zanna</w:t>
            </w:r>
          </w:p>
        </w:tc>
      </w:tr>
      <w:tr>
        <w:trPr>
          <w:trHeight w:val="275"/>
        </w:trPr>
        <w:tc>
          <w:tcPr>
            <w:tcW w:w="7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22"/>
                <w:szCs w:val="22"/>
                <w:color w:val="auto"/>
              </w:rPr>
              <w:t>Title: Chief Financial Officer and Treasurer</w:t>
            </w:r>
          </w:p>
        </w:tc>
      </w:tr>
    </w:tbl>
    <w:p>
      <w:pPr>
        <w:spacing w:after="0" w:line="200" w:lineRule="exact"/>
        <w:rPr>
          <w:sz w:val="20"/>
          <w:szCs w:val="20"/>
          <w:color w:val="auto"/>
        </w:rPr>
      </w:pPr>
    </w:p>
    <w:p>
      <w:pPr>
        <w:spacing w:after="0" w:line="25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CHINOS INTERMEDIATE HOLDINGS B, INC.</w:t>
      </w:r>
    </w:p>
    <w:p>
      <w:pPr>
        <w:spacing w:after="0" w:line="200" w:lineRule="exact"/>
        <w:rPr>
          <w:sz w:val="20"/>
          <w:szCs w:val="20"/>
          <w:color w:val="auto"/>
        </w:rPr>
      </w:pPr>
    </w:p>
    <w:p>
      <w:pPr>
        <w:spacing w:after="0" w:line="276" w:lineRule="exact"/>
        <w:rPr>
          <w:sz w:val="20"/>
          <w:szCs w:val="20"/>
          <w:color w:val="auto"/>
        </w:rPr>
      </w:pPr>
    </w:p>
    <w:tbl>
      <w:tblPr>
        <w:tblLayout w:type="fixed"/>
        <w:tblInd w:w="4840" w:type="dxa"/>
        <w:tblCellMar>
          <w:top w:w="0" w:type="dxa"/>
          <w:left w:w="0" w:type="dxa"/>
          <w:bottom w:w="0" w:type="dxa"/>
          <w:right w:w="0" w:type="dxa"/>
        </w:tblCellMar>
      </w:tblPr>
      <w:tr>
        <w:trPr>
          <w:trHeight w:val="26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Vincent Zanna</w:t>
            </w:r>
          </w:p>
        </w:tc>
      </w:tr>
      <w:tr>
        <w:trPr>
          <w:trHeight w:val="215"/>
        </w:trPr>
        <w:tc>
          <w:tcPr>
            <w:tcW w:w="700" w:type="dxa"/>
            <w:vAlign w:val="bottom"/>
          </w:tcPr>
          <w:p>
            <w:pPr>
              <w:spacing w:after="0"/>
              <w:rPr>
                <w:sz w:val="18"/>
                <w:szCs w:val="18"/>
                <w:color w:val="auto"/>
              </w:rPr>
            </w:pPr>
          </w:p>
        </w:tc>
        <w:tc>
          <w:tcPr>
            <w:tcW w:w="5560" w:type="dxa"/>
            <w:vAlign w:val="bottom"/>
            <w:gridSpan w:val="2"/>
          </w:tcPr>
          <w:p>
            <w:pPr>
              <w:spacing w:after="0" w:line="216" w:lineRule="exact"/>
              <w:rPr>
                <w:sz w:val="20"/>
                <w:szCs w:val="20"/>
                <w:color w:val="auto"/>
              </w:rPr>
            </w:pPr>
            <w:r>
              <w:rPr>
                <w:rFonts w:ascii="Arial" w:cs="Arial" w:eastAsia="Arial" w:hAnsi="Arial"/>
                <w:sz w:val="22"/>
                <w:szCs w:val="22"/>
                <w:color w:val="auto"/>
              </w:rPr>
              <w:t>Name: Vincent Zanna</w:t>
            </w:r>
          </w:p>
        </w:tc>
      </w:tr>
      <w:tr>
        <w:trPr>
          <w:trHeight w:val="275"/>
        </w:trPr>
        <w:tc>
          <w:tcPr>
            <w:tcW w:w="700" w:type="dxa"/>
            <w:vAlign w:val="bottom"/>
          </w:tcPr>
          <w:p>
            <w:pPr>
              <w:spacing w:after="0"/>
              <w:rPr>
                <w:sz w:val="23"/>
                <w:szCs w:val="23"/>
                <w:color w:val="auto"/>
              </w:rPr>
            </w:pPr>
          </w:p>
        </w:tc>
        <w:tc>
          <w:tcPr>
            <w:tcW w:w="5560" w:type="dxa"/>
            <w:vAlign w:val="bottom"/>
            <w:gridSpan w:val="2"/>
          </w:tcPr>
          <w:p>
            <w:pPr>
              <w:spacing w:after="0"/>
              <w:rPr>
                <w:sz w:val="20"/>
                <w:szCs w:val="20"/>
                <w:color w:val="auto"/>
              </w:rPr>
            </w:pPr>
            <w:r>
              <w:rPr>
                <w:rFonts w:ascii="Arial" w:cs="Arial" w:eastAsia="Arial" w:hAnsi="Arial"/>
                <w:sz w:val="22"/>
                <w:szCs w:val="22"/>
                <w:color w:val="auto"/>
              </w:rPr>
              <w:t>Title: Chief Financial Officer and Treasurer</w:t>
            </w:r>
          </w:p>
        </w:tc>
      </w:tr>
      <w:tr>
        <w:trPr>
          <w:trHeight w:val="486"/>
        </w:trPr>
        <w:tc>
          <w:tcPr>
            <w:tcW w:w="6260" w:type="dxa"/>
            <w:vAlign w:val="bottom"/>
            <w:gridSpan w:val="3"/>
          </w:tcPr>
          <w:p>
            <w:pPr>
              <w:spacing w:after="0"/>
              <w:rPr>
                <w:sz w:val="20"/>
                <w:szCs w:val="20"/>
                <w:color w:val="auto"/>
              </w:rPr>
            </w:pPr>
            <w:r>
              <w:rPr>
                <w:rFonts w:ascii="Arial" w:cs="Arial" w:eastAsia="Arial" w:hAnsi="Arial"/>
                <w:sz w:val="22"/>
                <w:szCs w:val="22"/>
                <w:color w:val="auto"/>
              </w:rPr>
              <w:t>J.CREW GROUP, INC.</w:t>
            </w:r>
          </w:p>
        </w:tc>
      </w:tr>
      <w:tr>
        <w:trPr>
          <w:trHeight w:val="719"/>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Vincent Zanna</w:t>
            </w:r>
          </w:p>
        </w:tc>
      </w:tr>
      <w:tr>
        <w:trPr>
          <w:trHeight w:val="215"/>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Arial" w:cs="Arial" w:eastAsia="Arial" w:hAnsi="Arial"/>
                <w:sz w:val="22"/>
                <w:szCs w:val="22"/>
                <w:color w:val="auto"/>
              </w:rPr>
              <w:t>Name: Vincent Zanna</w:t>
            </w:r>
          </w:p>
        </w:tc>
      </w:tr>
      <w:tr>
        <w:trPr>
          <w:trHeight w:val="275"/>
        </w:trPr>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540" w:type="dxa"/>
            <w:vAlign w:val="bottom"/>
          </w:tcPr>
          <w:p>
            <w:pPr>
              <w:spacing w:after="0"/>
              <w:rPr>
                <w:sz w:val="20"/>
                <w:szCs w:val="20"/>
                <w:color w:val="auto"/>
              </w:rPr>
            </w:pPr>
            <w:r>
              <w:rPr>
                <w:rFonts w:ascii="Arial" w:cs="Arial" w:eastAsia="Arial" w:hAnsi="Arial"/>
                <w:sz w:val="22"/>
                <w:szCs w:val="22"/>
                <w:color w:val="auto"/>
              </w:rPr>
              <w:t>Title: Chief Financial Officer and Treasurer</w:t>
            </w:r>
          </w:p>
        </w:tc>
      </w:tr>
    </w:tbl>
    <w:p>
      <w:pPr>
        <w:spacing w:after="0" w:line="200" w:lineRule="exact"/>
        <w:rPr>
          <w:sz w:val="20"/>
          <w:szCs w:val="20"/>
          <w:color w:val="auto"/>
        </w:rPr>
      </w:pPr>
    </w:p>
    <w:p>
      <w:pPr>
        <w:spacing w:after="0" w:line="25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J. CREW OPERATING CORP.</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560" w:type="dxa"/>
            <w:vAlign w:val="bottom"/>
          </w:tcPr>
          <w:p>
            <w:pPr>
              <w:ind w:left="4840"/>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Vincent Zanna</w:t>
            </w:r>
          </w:p>
        </w:tc>
        <w:tc>
          <w:tcPr>
            <w:tcW w:w="520" w:type="dxa"/>
            <w:vAlign w:val="bottom"/>
          </w:tcPr>
          <w:p>
            <w:pPr>
              <w:spacing w:after="0"/>
              <w:rPr>
                <w:sz w:val="23"/>
                <w:szCs w:val="23"/>
                <w:color w:val="auto"/>
              </w:rPr>
            </w:pPr>
          </w:p>
        </w:tc>
      </w:tr>
      <w:tr>
        <w:trPr>
          <w:trHeight w:val="215"/>
        </w:trPr>
        <w:tc>
          <w:tcPr>
            <w:tcW w:w="5560" w:type="dxa"/>
            <w:vAlign w:val="bottom"/>
          </w:tcPr>
          <w:p>
            <w:pPr>
              <w:spacing w:after="0"/>
              <w:rPr>
                <w:sz w:val="18"/>
                <w:szCs w:val="18"/>
                <w:color w:val="auto"/>
              </w:rPr>
            </w:pPr>
          </w:p>
        </w:tc>
        <w:tc>
          <w:tcPr>
            <w:tcW w:w="5360" w:type="dxa"/>
            <w:vAlign w:val="bottom"/>
          </w:tcPr>
          <w:p>
            <w:pPr>
              <w:spacing w:after="0" w:line="216" w:lineRule="exact"/>
              <w:rPr>
                <w:sz w:val="20"/>
                <w:szCs w:val="20"/>
                <w:color w:val="auto"/>
              </w:rPr>
            </w:pPr>
            <w:r>
              <w:rPr>
                <w:rFonts w:ascii="Arial" w:cs="Arial" w:eastAsia="Arial" w:hAnsi="Arial"/>
                <w:sz w:val="22"/>
                <w:szCs w:val="22"/>
                <w:color w:val="auto"/>
              </w:rPr>
              <w:t>Name: Vincent Zanna</w:t>
            </w:r>
          </w:p>
        </w:tc>
        <w:tc>
          <w:tcPr>
            <w:tcW w:w="520" w:type="dxa"/>
            <w:vAlign w:val="bottom"/>
          </w:tcPr>
          <w:p>
            <w:pPr>
              <w:spacing w:after="0"/>
              <w:rPr>
                <w:sz w:val="18"/>
                <w:szCs w:val="18"/>
                <w:color w:val="auto"/>
              </w:rPr>
            </w:pPr>
          </w:p>
        </w:tc>
      </w:tr>
      <w:tr>
        <w:trPr>
          <w:trHeight w:val="275"/>
        </w:trPr>
        <w:tc>
          <w:tcPr>
            <w:tcW w:w="5560" w:type="dxa"/>
            <w:vAlign w:val="bottom"/>
          </w:tcPr>
          <w:p>
            <w:pPr>
              <w:spacing w:after="0"/>
              <w:rPr>
                <w:sz w:val="23"/>
                <w:szCs w:val="23"/>
                <w:color w:val="auto"/>
              </w:rPr>
            </w:pPr>
          </w:p>
        </w:tc>
        <w:tc>
          <w:tcPr>
            <w:tcW w:w="5360" w:type="dxa"/>
            <w:vAlign w:val="bottom"/>
          </w:tcPr>
          <w:p>
            <w:pPr>
              <w:spacing w:after="0"/>
              <w:rPr>
                <w:sz w:val="20"/>
                <w:szCs w:val="20"/>
                <w:color w:val="auto"/>
              </w:rPr>
            </w:pPr>
            <w:r>
              <w:rPr>
                <w:rFonts w:ascii="Arial" w:cs="Arial" w:eastAsia="Arial" w:hAnsi="Arial"/>
                <w:sz w:val="22"/>
                <w:szCs w:val="22"/>
                <w:color w:val="auto"/>
              </w:rPr>
              <w:t>Title: Chief Financial Officer and Treasurer</w:t>
            </w:r>
          </w:p>
        </w:tc>
        <w:tc>
          <w:tcPr>
            <w:tcW w:w="520" w:type="dxa"/>
            <w:vAlign w:val="bottom"/>
          </w:tcPr>
          <w:p>
            <w:pPr>
              <w:spacing w:after="0"/>
              <w:rPr>
                <w:sz w:val="23"/>
                <w:szCs w:val="23"/>
                <w:color w:val="auto"/>
              </w:rPr>
            </w:pPr>
          </w:p>
        </w:tc>
      </w:tr>
      <w:tr>
        <w:trPr>
          <w:trHeight w:val="1185"/>
        </w:trPr>
        <w:tc>
          <w:tcPr>
            <w:tcW w:w="556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6" w:name="page7"/>
    <w:bookmarkEnd w:id="6"/>
    <w:p>
      <w:pPr>
        <w:jc w:val="center"/>
        <w:ind w:right="340"/>
        <w:spacing w:after="0"/>
        <w:rPr>
          <w:sz w:val="20"/>
          <w:szCs w:val="20"/>
          <w:color w:val="auto"/>
        </w:rPr>
      </w:pPr>
      <w:r>
        <w:rPr>
          <w:rFonts w:ascii="Arial" w:cs="Arial" w:eastAsia="Arial" w:hAnsi="Arial"/>
          <w:sz w:val="22"/>
          <w:szCs w:val="22"/>
          <w:color w:val="auto"/>
        </w:rPr>
        <w:t>J. CREW INC.</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080" w:type="dxa"/>
            <w:vAlign w:val="bottom"/>
          </w:tcPr>
          <w:p>
            <w:pPr>
              <w:ind w:left="4900"/>
              <w:spacing w:after="0"/>
              <w:rPr>
                <w:sz w:val="20"/>
                <w:szCs w:val="20"/>
                <w:color w:val="auto"/>
              </w:rPr>
            </w:pPr>
            <w:r>
              <w:rPr>
                <w:rFonts w:ascii="Arial" w:cs="Arial" w:eastAsia="Arial" w:hAnsi="Arial"/>
                <w:sz w:val="22"/>
                <w:szCs w:val="22"/>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Vincent Zanna</w:t>
            </w:r>
          </w:p>
        </w:tc>
        <w:tc>
          <w:tcPr>
            <w:tcW w:w="20" w:type="dxa"/>
            <w:vAlign w:val="bottom"/>
          </w:tcPr>
          <w:p>
            <w:pPr>
              <w:spacing w:after="0"/>
              <w:rPr>
                <w:sz w:val="23"/>
                <w:szCs w:val="23"/>
                <w:color w:val="auto"/>
              </w:rPr>
            </w:pPr>
          </w:p>
        </w:tc>
      </w:tr>
      <w:tr>
        <w:trPr>
          <w:trHeight w:val="215"/>
        </w:trPr>
        <w:tc>
          <w:tcPr>
            <w:tcW w:w="6080" w:type="dxa"/>
            <w:vAlign w:val="bottom"/>
          </w:tcPr>
          <w:p>
            <w:pPr>
              <w:spacing w:after="0"/>
              <w:rPr>
                <w:sz w:val="18"/>
                <w:szCs w:val="18"/>
                <w:color w:val="auto"/>
              </w:rPr>
            </w:pPr>
          </w:p>
        </w:tc>
        <w:tc>
          <w:tcPr>
            <w:tcW w:w="5340" w:type="dxa"/>
            <w:vAlign w:val="bottom"/>
          </w:tcPr>
          <w:p>
            <w:pPr>
              <w:spacing w:after="0" w:line="216" w:lineRule="exact"/>
              <w:rPr>
                <w:sz w:val="20"/>
                <w:szCs w:val="20"/>
                <w:color w:val="auto"/>
              </w:rPr>
            </w:pPr>
            <w:r>
              <w:rPr>
                <w:rFonts w:ascii="Arial" w:cs="Arial" w:eastAsia="Arial" w:hAnsi="Arial"/>
                <w:sz w:val="22"/>
                <w:szCs w:val="22"/>
                <w:color w:val="auto"/>
              </w:rPr>
              <w:t>Name: Vincent Zanna</w:t>
            </w:r>
          </w:p>
        </w:tc>
        <w:tc>
          <w:tcPr>
            <w:tcW w:w="20" w:type="dxa"/>
            <w:vAlign w:val="bottom"/>
          </w:tcPr>
          <w:p>
            <w:pPr>
              <w:spacing w:after="0"/>
              <w:rPr>
                <w:sz w:val="18"/>
                <w:szCs w:val="18"/>
                <w:color w:val="auto"/>
              </w:rPr>
            </w:pPr>
          </w:p>
        </w:tc>
      </w:tr>
      <w:tr>
        <w:trPr>
          <w:trHeight w:val="275"/>
        </w:trPr>
        <w:tc>
          <w:tcPr>
            <w:tcW w:w="6080" w:type="dxa"/>
            <w:vAlign w:val="bottom"/>
          </w:tcPr>
          <w:p>
            <w:pPr>
              <w:spacing w:after="0"/>
              <w:rPr>
                <w:sz w:val="23"/>
                <w:szCs w:val="23"/>
                <w:color w:val="auto"/>
              </w:rPr>
            </w:pPr>
          </w:p>
        </w:tc>
        <w:tc>
          <w:tcPr>
            <w:tcW w:w="5340" w:type="dxa"/>
            <w:vAlign w:val="bottom"/>
          </w:tcPr>
          <w:p>
            <w:pPr>
              <w:spacing w:after="0"/>
              <w:rPr>
                <w:sz w:val="20"/>
                <w:szCs w:val="20"/>
                <w:color w:val="auto"/>
              </w:rPr>
            </w:pPr>
            <w:r>
              <w:rPr>
                <w:rFonts w:ascii="Arial" w:cs="Arial" w:eastAsia="Arial" w:hAnsi="Arial"/>
                <w:sz w:val="22"/>
                <w:szCs w:val="22"/>
                <w:color w:val="auto"/>
              </w:rPr>
              <w:t>Title: Chief Financial Officer and Treasurer</w:t>
            </w:r>
          </w:p>
        </w:tc>
        <w:tc>
          <w:tcPr>
            <w:tcW w:w="20" w:type="dxa"/>
            <w:vAlign w:val="bottom"/>
          </w:tcPr>
          <w:p>
            <w:pPr>
              <w:spacing w:after="0"/>
              <w:rPr>
                <w:sz w:val="23"/>
                <w:szCs w:val="23"/>
                <w:color w:val="auto"/>
              </w:rPr>
            </w:pPr>
          </w:p>
        </w:tc>
      </w:tr>
      <w:tr>
        <w:trPr>
          <w:trHeight w:val="1321"/>
        </w:trPr>
        <w:tc>
          <w:tcPr>
            <w:tcW w:w="60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7" w:name="page8"/>
    <w:bookmarkEnd w:id="7"/>
    <w:p>
      <w:pPr>
        <w:ind w:left="5920"/>
        <w:spacing w:after="0"/>
        <w:rPr>
          <w:sz w:val="20"/>
          <w:szCs w:val="20"/>
          <w:color w:val="auto"/>
        </w:rPr>
      </w:pPr>
      <w:r>
        <w:rPr>
          <w:rFonts w:ascii="Arial" w:cs="Arial" w:eastAsia="Arial" w:hAnsi="Arial"/>
          <w:sz w:val="22"/>
          <w:szCs w:val="22"/>
          <w:color w:val="auto"/>
        </w:rPr>
        <w:t>TPG CHINOS, L.P.</w:t>
      </w:r>
    </w:p>
    <w:p>
      <w:pPr>
        <w:spacing w:after="0" w:line="233"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 TPG Advisors VI, Inc.,</w:t>
      </w:r>
    </w:p>
    <w:p>
      <w:pPr>
        <w:spacing w:after="0" w:line="8"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 /s/ Michael LaGatta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-17780</wp:posOffset>
            </wp:positionV>
            <wp:extent cx="1913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13255" cy="8890"/>
                    </a:xfrm>
                    <a:prstGeom prst="rect">
                      <a:avLst/>
                    </a:prstGeom>
                    <a:noFill/>
                  </pic:spPr>
                </pic:pic>
              </a:graphicData>
            </a:graphic>
          </wp:anchor>
        </w:drawing>
      </w:r>
    </w:p>
    <w:p>
      <w:pPr>
        <w:ind w:left="5920"/>
        <w:spacing w:after="0" w:line="238" w:lineRule="auto"/>
        <w:rPr>
          <w:sz w:val="20"/>
          <w:szCs w:val="20"/>
          <w:color w:val="auto"/>
        </w:rPr>
      </w:pPr>
      <w:r>
        <w:rPr>
          <w:rFonts w:ascii="Arial" w:cs="Arial" w:eastAsia="Arial" w:hAnsi="Arial"/>
          <w:sz w:val="22"/>
          <w:szCs w:val="22"/>
          <w:color w:val="auto"/>
        </w:rPr>
        <w:t>Name: Michael LaGatta</w:t>
      </w:r>
    </w:p>
    <w:p>
      <w:pPr>
        <w:ind w:left="59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TPG CHINOS CO-INVEST, L.P.</w:t>
      </w:r>
    </w:p>
    <w:p>
      <w:pPr>
        <w:spacing w:after="0" w:line="268"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 TPG Advisors VI, Inc.,</w:t>
      </w:r>
    </w:p>
    <w:p>
      <w:pPr>
        <w:spacing w:after="0" w:line="8"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 /s/ Michael LaGatta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-17780</wp:posOffset>
            </wp:positionV>
            <wp:extent cx="1913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13255" cy="8890"/>
                    </a:xfrm>
                    <a:prstGeom prst="rect">
                      <a:avLst/>
                    </a:prstGeom>
                    <a:noFill/>
                  </pic:spPr>
                </pic:pic>
              </a:graphicData>
            </a:graphic>
          </wp:anchor>
        </w:drawing>
      </w:r>
    </w:p>
    <w:p>
      <w:pPr>
        <w:ind w:left="5920"/>
        <w:spacing w:after="0" w:line="238" w:lineRule="auto"/>
        <w:rPr>
          <w:sz w:val="20"/>
          <w:szCs w:val="20"/>
          <w:color w:val="auto"/>
        </w:rPr>
      </w:pPr>
      <w:r>
        <w:rPr>
          <w:rFonts w:ascii="Arial" w:cs="Arial" w:eastAsia="Arial" w:hAnsi="Arial"/>
          <w:sz w:val="22"/>
          <w:szCs w:val="22"/>
          <w:color w:val="auto"/>
        </w:rPr>
        <w:t>Name: Michael LaGatta</w:t>
      </w:r>
    </w:p>
    <w:p>
      <w:pPr>
        <w:ind w:left="592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 w:name="page9"/>
    <w:bookmarkEnd w:id="8"/>
    <w:p>
      <w:pPr>
        <w:ind w:left="4080"/>
        <w:spacing w:after="0"/>
        <w:rPr>
          <w:sz w:val="20"/>
          <w:szCs w:val="20"/>
          <w:color w:val="auto"/>
        </w:rPr>
      </w:pPr>
      <w:r>
        <w:rPr>
          <w:rFonts w:ascii="Arial" w:cs="Arial" w:eastAsia="Arial" w:hAnsi="Arial"/>
          <w:sz w:val="22"/>
          <w:szCs w:val="22"/>
          <w:color w:val="auto"/>
        </w:rPr>
        <w:t>GREEN EQUITY INVESTORS V, L.P.</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By: GEI CAPITAL V, LLC, its General Partner</w:t>
      </w:r>
    </w:p>
    <w:p>
      <w:pPr>
        <w:spacing w:after="0" w:line="24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 /s/ Andrew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-17780</wp:posOffset>
            </wp:positionV>
            <wp:extent cx="2047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47875" cy="8890"/>
                    </a:xfrm>
                    <a:prstGeom prst="rect">
                      <a:avLst/>
                    </a:prstGeom>
                    <a:noFill/>
                  </pic:spPr>
                </pic:pic>
              </a:graphicData>
            </a:graphic>
          </wp:anchor>
        </w:drawing>
      </w:r>
    </w:p>
    <w:p>
      <w:pPr>
        <w:ind w:left="5060"/>
        <w:spacing w:after="0" w:line="238" w:lineRule="auto"/>
        <w:rPr>
          <w:sz w:val="20"/>
          <w:szCs w:val="20"/>
          <w:color w:val="auto"/>
        </w:rPr>
      </w:pPr>
      <w:r>
        <w:rPr>
          <w:rFonts w:ascii="Arial" w:cs="Arial" w:eastAsia="Arial" w:hAnsi="Arial"/>
          <w:sz w:val="22"/>
          <w:szCs w:val="22"/>
          <w:color w:val="auto"/>
        </w:rPr>
        <w:t>Name: Andrew Goldberg</w:t>
      </w:r>
    </w:p>
    <w:p>
      <w:pPr>
        <w:ind w:left="5060"/>
        <w:spacing w:after="0"/>
        <w:rPr>
          <w:sz w:val="20"/>
          <w:szCs w:val="20"/>
          <w:color w:val="auto"/>
        </w:rPr>
      </w:pPr>
      <w:r>
        <w:rPr>
          <w:rFonts w:ascii="Arial" w:cs="Arial" w:eastAsia="Arial" w:hAnsi="Arial"/>
          <w:sz w:val="22"/>
          <w:szCs w:val="22"/>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GREEN EQUITY INVESTORS SIDE V, L.P.</w:t>
      </w:r>
    </w:p>
    <w:p>
      <w:pPr>
        <w:spacing w:after="0" w:line="218"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By: GEI CAPITAL V, LLC, its General Partner</w:t>
      </w:r>
    </w:p>
    <w:p>
      <w:pPr>
        <w:spacing w:after="0" w:line="24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 /s/ Andrew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-17780</wp:posOffset>
            </wp:positionV>
            <wp:extent cx="2082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82165" cy="8890"/>
                    </a:xfrm>
                    <a:prstGeom prst="rect">
                      <a:avLst/>
                    </a:prstGeom>
                    <a:noFill/>
                  </pic:spPr>
                </pic:pic>
              </a:graphicData>
            </a:graphic>
          </wp:anchor>
        </w:drawing>
      </w:r>
    </w:p>
    <w:p>
      <w:pPr>
        <w:ind w:left="5060"/>
        <w:spacing w:after="0" w:line="238" w:lineRule="auto"/>
        <w:rPr>
          <w:sz w:val="20"/>
          <w:szCs w:val="20"/>
          <w:color w:val="auto"/>
        </w:rPr>
      </w:pPr>
      <w:r>
        <w:rPr>
          <w:rFonts w:ascii="Arial" w:cs="Arial" w:eastAsia="Arial" w:hAnsi="Arial"/>
          <w:sz w:val="22"/>
          <w:szCs w:val="22"/>
          <w:color w:val="auto"/>
        </w:rPr>
        <w:t>Name: Andrew Goldberg</w:t>
      </w:r>
    </w:p>
    <w:p>
      <w:pPr>
        <w:ind w:left="5060"/>
        <w:spacing w:after="0"/>
        <w:rPr>
          <w:sz w:val="20"/>
          <w:szCs w:val="20"/>
          <w:color w:val="auto"/>
        </w:rPr>
      </w:pPr>
      <w:r>
        <w:rPr>
          <w:rFonts w:ascii="Arial" w:cs="Arial" w:eastAsia="Arial" w:hAnsi="Arial"/>
          <w:sz w:val="22"/>
          <w:szCs w:val="22"/>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LGP CHINO COINVEST LLC</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By: Leonard Green &amp; Partners, L.P., its Manager</w:t>
      </w:r>
    </w:p>
    <w:p>
      <w:pPr>
        <w:spacing w:after="0" w:line="43"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By: LGP Management, Inc., its general partner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Andrew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-17780</wp:posOffset>
            </wp:positionV>
            <wp:extent cx="2082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82165" cy="8890"/>
                    </a:xfrm>
                    <a:prstGeom prst="rect">
                      <a:avLst/>
                    </a:prstGeom>
                    <a:noFill/>
                  </pic:spPr>
                </pic:pic>
              </a:graphicData>
            </a:graphic>
          </wp:anchor>
        </w:drawing>
      </w:r>
    </w:p>
    <w:p>
      <w:pPr>
        <w:ind w:left="5160"/>
        <w:spacing w:after="0" w:line="238" w:lineRule="auto"/>
        <w:rPr>
          <w:sz w:val="20"/>
          <w:szCs w:val="20"/>
          <w:color w:val="auto"/>
        </w:rPr>
      </w:pPr>
      <w:r>
        <w:rPr>
          <w:rFonts w:ascii="Arial" w:cs="Arial" w:eastAsia="Arial" w:hAnsi="Arial"/>
          <w:sz w:val="22"/>
          <w:szCs w:val="22"/>
          <w:color w:val="auto"/>
        </w:rPr>
        <w:t>Name: Andrew Goldberg</w:t>
      </w:r>
    </w:p>
    <w:p>
      <w:pPr>
        <w:ind w:left="5160"/>
        <w:spacing w:after="0"/>
        <w:rPr>
          <w:sz w:val="20"/>
          <w:szCs w:val="20"/>
          <w:color w:val="auto"/>
        </w:rPr>
      </w:pPr>
      <w:r>
        <w:rPr>
          <w:rFonts w:ascii="Arial" w:cs="Arial" w:eastAsia="Arial" w:hAnsi="Arial"/>
          <w:sz w:val="22"/>
          <w:szCs w:val="22"/>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1012190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 w:name="page10"/>
    <w:bookmarkEnd w:id="9"/>
    <w:p>
      <w:pPr>
        <w:spacing w:after="0"/>
        <w:rPr>
          <w:sz w:val="20"/>
          <w:szCs w:val="20"/>
          <w:color w:val="auto"/>
        </w:rPr>
      </w:pPr>
      <w:r>
        <w:rPr>
          <w:rFonts w:ascii="Arial" w:cs="Arial" w:eastAsia="Arial" w:hAnsi="Arial"/>
          <w:sz w:val="19"/>
          <w:szCs w:val="19"/>
          <w:b w:val="1"/>
          <w:bCs w:val="1"/>
          <w:color w:val="auto"/>
        </w:rPr>
        <w:t>Anchorage Capital Group, L.L.C., on behalf of certain funds managed or advised by it or its affiliates</w:t>
      </w:r>
    </w:p>
    <w:p>
      <w:pPr>
        <w:sectPr>
          <w:pgSz w:w="11900" w:h="16838" w:orient="portrait"/>
          <w:cols w:equalWidth="0" w:num="1">
            <w:col w:w="10219"/>
          </w:cols>
          <w:pgMar w:left="240" w:top="355" w:right="1440" w:bottom="1440" w:gutter="0" w:footer="0" w:header="0"/>
        </w:sectPr>
      </w:pPr>
    </w:p>
    <w:p>
      <w:pPr>
        <w:spacing w:after="0" w:line="274"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[Remainder of signature page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Davidson Kempner Capital Management LP, on behalf of certain of its affiliated funds and accounts</w:t>
      </w:r>
    </w:p>
    <w:p>
      <w:pPr>
        <w:sectPr>
          <w:pgSz w:w="11900" w:h="16838" w:orient="portrait"/>
          <w:cols w:equalWidth="0" w:num="1">
            <w:col w:w="10219"/>
          </w:cols>
          <w:pgMar w:left="240" w:top="355" w:right="1440" w:bottom="1440" w:gutter="0" w:footer="0" w:header="0"/>
        </w:sectPr>
      </w:pPr>
    </w:p>
    <w:p>
      <w:pPr>
        <w:spacing w:after="0" w:line="274"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[Remainder of signature page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GSO CAPITAL PARTNERS LP, on behalf of funds managed or advised by it or its affiliates</w:t>
      </w:r>
    </w:p>
    <w:p>
      <w:pPr>
        <w:sectPr>
          <w:pgSz w:w="11900" w:h="16838" w:orient="portrait"/>
          <w:cols w:equalWidth="0" w:num="1">
            <w:col w:w="10219"/>
          </w:cols>
          <w:pgMar w:left="240" w:top="355" w:right="1440" w:bottom="1440" w:gutter="0" w:footer="0" w:header="0"/>
        </w:sectPr>
      </w:pPr>
    </w:p>
    <w:p>
      <w:pPr>
        <w:spacing w:after="0" w:line="274"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[Remainder of signature page redacted]</w:t>
      </w:r>
    </w:p>
    <w:sectPr>
      <w:pgSz w:w="11900" w:h="16838" w:orient="portrait"/>
      <w:cols w:equalWidth="0" w:num="1">
        <w:col w:w="10219"/>
      </w:cols>
      <w:pgMar w:left="240" w:top="3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1"/>
      <w:numFmt w:val="lowerLetter"/>
      <w:start w:val="1"/>
    </w:lvl>
    <w:lvl w:ilvl="1">
      <w:lvlJc w:val="left"/>
      <w:lvlText w:val="%2."/>
      <w:numFmt w:val="decimal"/>
      <w:start w:val="1"/>
    </w:lvl>
  </w:abstractNum>
  <w:abstractNum w:abstractNumId="4">
    <w:nsid w:val="41B71EFB"/>
    <w:multiLevelType w:val="hybridMultilevel"/>
    <w:lvl w:ilvl="0">
      <w:lvlJc w:val="left"/>
      <w:lvlText w:val="(%1)"/>
      <w:numFmt w:val="lowerLetter"/>
      <w:start w:val="1"/>
    </w:lvl>
    <w:lvl w:ilvl="1">
      <w:lvlJc w:val="left"/>
      <w:lvlText w:val="%2"/>
      <w:numFmt w:val="decimal"/>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6"/>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2020-03-02T15:31:48Z</dcterms:created>
  <dcterms:modified xsi:type="dcterms:W3CDTF">2020-03-02T15:31:48Z</dcterms:modified>
</cp:coreProperties>
</file>