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July 30, 2005</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146685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58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Commission</w:t>
            </w:r>
          </w:p>
        </w:tc>
        <w:tc>
          <w:tcPr>
            <w:tcW w:w="1240" w:type="dxa"/>
            <w:vAlign w:val="bottom"/>
          </w:tcPr>
          <w:p>
            <w:pPr>
              <w:spacing w:after="0"/>
              <w:rPr>
                <w:sz w:val="14"/>
                <w:szCs w:val="14"/>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Registrant, State of Incorporation</w:t>
            </w:r>
          </w:p>
        </w:tc>
        <w:tc>
          <w:tcPr>
            <w:tcW w:w="2040" w:type="dxa"/>
            <w:vAlign w:val="bottom"/>
          </w:tcPr>
          <w:p>
            <w:pPr>
              <w:jc w:val="center"/>
              <w:ind w:left="962"/>
              <w:spacing w:after="0"/>
              <w:rPr>
                <w:sz w:val="20"/>
                <w:szCs w:val="20"/>
                <w:color w:val="auto"/>
              </w:rPr>
            </w:pPr>
            <w:r>
              <w:rPr>
                <w:rFonts w:ascii="Arial" w:cs="Arial" w:eastAsia="Arial" w:hAnsi="Arial"/>
                <w:sz w:val="14"/>
                <w:szCs w:val="14"/>
                <w:b w:val="1"/>
                <w:bCs w:val="1"/>
                <w:color w:val="auto"/>
                <w:w w:val="89"/>
              </w:rPr>
              <w:t>I.R.S. Employer</w:t>
            </w:r>
          </w:p>
        </w:tc>
      </w:tr>
      <w:tr>
        <w:trPr>
          <w:trHeight w:val="160"/>
        </w:trPr>
        <w:tc>
          <w:tcPr>
            <w:tcW w:w="192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1240" w:type="dxa"/>
            <w:vAlign w:val="bottom"/>
          </w:tcPr>
          <w:p>
            <w:pPr>
              <w:spacing w:after="0"/>
              <w:rPr>
                <w:sz w:val="13"/>
                <w:szCs w:val="13"/>
                <w:color w:val="auto"/>
              </w:rPr>
            </w:pPr>
          </w:p>
        </w:tc>
        <w:tc>
          <w:tcPr>
            <w:tcW w:w="33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6"/>
              </w:rPr>
              <w:t>Address and Telephone Number</w:t>
            </w:r>
          </w:p>
        </w:tc>
        <w:tc>
          <w:tcPr>
            <w:tcW w:w="2040" w:type="dxa"/>
            <w:vAlign w:val="bottom"/>
          </w:tcPr>
          <w:p>
            <w:pPr>
              <w:jc w:val="center"/>
              <w:ind w:left="962"/>
              <w:spacing w:after="0"/>
              <w:rPr>
                <w:sz w:val="20"/>
                <w:szCs w:val="20"/>
                <w:color w:val="auto"/>
              </w:rPr>
            </w:pPr>
            <w:r>
              <w:rPr>
                <w:rFonts w:ascii="Arial" w:cs="Arial" w:eastAsia="Arial" w:hAnsi="Arial"/>
                <w:sz w:val="14"/>
                <w:szCs w:val="14"/>
                <w:b w:val="1"/>
                <w:bCs w:val="1"/>
                <w:color w:val="auto"/>
                <w:w w:val="88"/>
              </w:rPr>
              <w:t>Identification No.</w:t>
            </w:r>
          </w:p>
        </w:tc>
      </w:tr>
      <w:tr>
        <w:trPr>
          <w:trHeight w:val="218"/>
        </w:trPr>
        <w:tc>
          <w:tcPr>
            <w:tcW w:w="1920" w:type="dxa"/>
            <w:vAlign w:val="bottom"/>
          </w:tcPr>
          <w:p>
            <w:pPr>
              <w:spacing w:after="0"/>
              <w:rPr>
                <w:sz w:val="20"/>
                <w:szCs w:val="20"/>
                <w:color w:val="auto"/>
              </w:rPr>
            </w:pPr>
            <w:r>
              <w:rPr>
                <w:rFonts w:ascii="Arial" w:cs="Arial" w:eastAsia="Arial" w:hAnsi="Arial"/>
                <w:sz w:val="18"/>
                <w:szCs w:val="18"/>
                <w:b w:val="1"/>
                <w:bCs w:val="1"/>
                <w:color w:val="auto"/>
              </w:rPr>
              <w:t>333-42427</w:t>
            </w:r>
          </w:p>
        </w:tc>
        <w:tc>
          <w:tcPr>
            <w:tcW w:w="1240" w:type="dxa"/>
            <w:vAlign w:val="bottom"/>
          </w:tcPr>
          <w:p>
            <w:pPr>
              <w:spacing w:after="0"/>
              <w:rPr>
                <w:sz w:val="18"/>
                <w:szCs w:val="18"/>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6"/>
              </w:rPr>
              <w:t>J.CREW GROUP, INC.</w:t>
            </w:r>
          </w:p>
        </w:tc>
        <w:tc>
          <w:tcPr>
            <w:tcW w:w="2040" w:type="dxa"/>
            <w:vAlign w:val="bottom"/>
          </w:tcPr>
          <w:p>
            <w:pPr>
              <w:jc w:val="center"/>
              <w:ind w:left="962"/>
              <w:spacing w:after="0"/>
              <w:rPr>
                <w:sz w:val="20"/>
                <w:szCs w:val="20"/>
                <w:color w:val="auto"/>
              </w:rPr>
            </w:pPr>
            <w:r>
              <w:rPr>
                <w:rFonts w:ascii="Arial" w:cs="Arial" w:eastAsia="Arial" w:hAnsi="Arial"/>
                <w:sz w:val="18"/>
                <w:szCs w:val="18"/>
                <w:b w:val="1"/>
                <w:bCs w:val="1"/>
                <w:color w:val="auto"/>
                <w:w w:val="87"/>
              </w:rPr>
              <w:t>22-2894486</w:t>
            </w:r>
          </w:p>
        </w:tc>
      </w:tr>
      <w:tr>
        <w:trPr>
          <w:trHeight w:val="174"/>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(Incorporated in New York)</w:t>
            </w:r>
          </w:p>
        </w:tc>
        <w:tc>
          <w:tcPr>
            <w:tcW w:w="2040" w:type="dxa"/>
            <w:vAlign w:val="bottom"/>
          </w:tcPr>
          <w:p>
            <w:pPr>
              <w:spacing w:after="0"/>
              <w:rPr>
                <w:sz w:val="15"/>
                <w:szCs w:val="15"/>
                <w:color w:val="auto"/>
              </w:rPr>
            </w:pPr>
          </w:p>
        </w:tc>
      </w:tr>
      <w:tr>
        <w:trPr>
          <w:trHeight w:val="244"/>
        </w:trPr>
        <w:tc>
          <w:tcPr>
            <w:tcW w:w="1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36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465"/>
        </w:trPr>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9"/>
              </w:rPr>
              <w:t>770 Broadway</w:t>
            </w:r>
          </w:p>
        </w:tc>
        <w:tc>
          <w:tcPr>
            <w:tcW w:w="204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9"/>
              </w:rPr>
              <w:t>New York, New York 10003</w:t>
            </w:r>
          </w:p>
        </w:tc>
        <w:tc>
          <w:tcPr>
            <w:tcW w:w="2040" w:type="dxa"/>
            <w:vAlign w:val="bottom"/>
          </w:tcPr>
          <w:p>
            <w:pPr>
              <w:spacing w:after="0"/>
              <w:rPr>
                <w:sz w:val="18"/>
                <w:szCs w:val="18"/>
                <w:color w:val="auto"/>
              </w:rPr>
            </w:pPr>
          </w:p>
        </w:tc>
      </w:tr>
      <w:tr>
        <w:trPr>
          <w:trHeight w:val="228"/>
        </w:trPr>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Telephone: (212) 209-2500</w:t>
            </w:r>
          </w:p>
        </w:tc>
        <w:tc>
          <w:tcPr>
            <w:tcW w:w="2040" w:type="dxa"/>
            <w:vAlign w:val="bottom"/>
          </w:tcPr>
          <w:p>
            <w:pPr>
              <w:spacing w:after="0"/>
              <w:rPr>
                <w:sz w:val="19"/>
                <w:szCs w:val="19"/>
                <w:color w:val="auto"/>
              </w:rPr>
            </w:pPr>
          </w:p>
        </w:tc>
      </w:tr>
      <w:tr>
        <w:trPr>
          <w:trHeight w:val="421"/>
        </w:trPr>
        <w:tc>
          <w:tcPr>
            <w:tcW w:w="1920" w:type="dxa"/>
            <w:vAlign w:val="bottom"/>
          </w:tcPr>
          <w:p>
            <w:pPr>
              <w:spacing w:after="0"/>
              <w:rPr>
                <w:sz w:val="20"/>
                <w:szCs w:val="20"/>
                <w:color w:val="auto"/>
              </w:rPr>
            </w:pPr>
            <w:r>
              <w:rPr>
                <w:rFonts w:ascii="Arial" w:cs="Arial" w:eastAsia="Arial" w:hAnsi="Arial"/>
                <w:sz w:val="18"/>
                <w:szCs w:val="18"/>
                <w:b w:val="1"/>
                <w:bCs w:val="1"/>
                <w:color w:val="auto"/>
              </w:rPr>
              <w:t>333-42423</w:t>
            </w:r>
          </w:p>
        </w:tc>
        <w:tc>
          <w:tcPr>
            <w:tcW w:w="456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95"/>
              </w:rPr>
              <w:t>J.CREW OPERATING CORP.</w:t>
            </w:r>
          </w:p>
        </w:tc>
        <w:tc>
          <w:tcPr>
            <w:tcW w:w="2040" w:type="dxa"/>
            <w:vAlign w:val="bottom"/>
          </w:tcPr>
          <w:p>
            <w:pPr>
              <w:jc w:val="center"/>
              <w:ind w:left="962"/>
              <w:spacing w:after="0"/>
              <w:rPr>
                <w:sz w:val="20"/>
                <w:szCs w:val="20"/>
                <w:color w:val="auto"/>
              </w:rPr>
            </w:pPr>
            <w:r>
              <w:rPr>
                <w:rFonts w:ascii="Arial" w:cs="Arial" w:eastAsia="Arial" w:hAnsi="Arial"/>
                <w:sz w:val="18"/>
                <w:szCs w:val="18"/>
                <w:b w:val="1"/>
                <w:bCs w:val="1"/>
                <w:color w:val="auto"/>
                <w:w w:val="87"/>
              </w:rPr>
              <w:t>22-3540930</w:t>
            </w:r>
          </w:p>
        </w:tc>
      </w:tr>
      <w:tr>
        <w:trPr>
          <w:trHeight w:val="174"/>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(Incorporated in Delaware)</w:t>
            </w:r>
          </w:p>
        </w:tc>
        <w:tc>
          <w:tcPr>
            <w:tcW w:w="2040" w:type="dxa"/>
            <w:vAlign w:val="bottom"/>
          </w:tcPr>
          <w:p>
            <w:pPr>
              <w:spacing w:after="0"/>
              <w:rPr>
                <w:sz w:val="15"/>
                <w:szCs w:val="15"/>
                <w:color w:val="auto"/>
              </w:rPr>
            </w:pPr>
          </w:p>
        </w:tc>
      </w:tr>
      <w:tr>
        <w:trPr>
          <w:trHeight w:val="405"/>
        </w:trPr>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9"/>
              </w:rPr>
              <w:t>770 Broadway</w:t>
            </w:r>
          </w:p>
        </w:tc>
        <w:tc>
          <w:tcPr>
            <w:tcW w:w="204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9"/>
              </w:rPr>
              <w:t>New York, New York 10003</w:t>
            </w:r>
          </w:p>
        </w:tc>
        <w:tc>
          <w:tcPr>
            <w:tcW w:w="2040" w:type="dxa"/>
            <w:vAlign w:val="bottom"/>
          </w:tcPr>
          <w:p>
            <w:pPr>
              <w:spacing w:after="0"/>
              <w:rPr>
                <w:sz w:val="18"/>
                <w:szCs w:val="18"/>
                <w:color w:val="auto"/>
              </w:rPr>
            </w:pPr>
          </w:p>
        </w:tc>
      </w:tr>
      <w:tr>
        <w:trPr>
          <w:trHeight w:val="228"/>
        </w:trPr>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Telephone: (212) 209-2500</w:t>
            </w:r>
          </w:p>
        </w:tc>
        <w:tc>
          <w:tcPr>
            <w:tcW w:w="20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00"/>
          </w:cols>
          <w:pgMar w:left="240" w:top="355" w:right="35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color w:val="auto"/>
        </w:rPr>
        <w:t>Indicate by a check mark whether any of the registrants is an accelerated filer (as defined in Rule 12b-2 of the Exchange Act).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5">
            <w:col w:w="8860" w:space="160"/>
            <w:col w:w="260" w:space="80"/>
            <w:col w:w="160" w:space="180"/>
            <w:col w:w="220" w:space="80"/>
            <w:col w:w="1300"/>
          </w:cols>
          <w:pgMar w:left="240" w:top="355" w:right="3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040" w:space="160"/>
            <w:col w:w="260" w:space="80"/>
            <w:col w:w="160" w:space="180"/>
            <w:col w:w="220" w:space="80"/>
            <w:col w:w="2120"/>
          </w:cols>
          <w:pgMar w:left="240" w:top="355" w:right="359" w:bottom="1440" w:gutter="0" w:footer="0" w:header="0"/>
          <w:type w:val="continuous"/>
        </w:sectPr>
      </w:pPr>
    </w:p>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Outstanding at August 30, 2005</w:t>
      </w:r>
    </w:p>
    <w:p>
      <w:pPr>
        <w:sectPr>
          <w:pgSz w:w="11900" w:h="16838" w:orient="portrait"/>
          <w:cols w:equalWidth="0" w:num="1">
            <w:col w:w="11300"/>
          </w:cols>
          <w:pgMar w:left="240" w:top="355" w:right="359" w:bottom="1440" w:gutter="0" w:footer="0" w:header="0"/>
          <w:type w:val="continuous"/>
        </w:sectPr>
      </w:pP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J. Crew Group, Inc.</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J. Crew Operating Corp.</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12,760,833 shares of common stock, par value $.01 per share</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100 shares of common stock, par value $.01 per share (all of which are owned by J. Crew Group, Inc.)</w:t>
      </w:r>
    </w:p>
    <w:p>
      <w:pPr>
        <w:spacing w:after="0" w:line="186" w:lineRule="exact"/>
        <w:rPr>
          <w:sz w:val="24"/>
          <w:szCs w:val="24"/>
          <w:color w:val="auto"/>
        </w:rPr>
      </w:pPr>
    </w:p>
    <w:p>
      <w:pPr>
        <w:sectPr>
          <w:pgSz w:w="11900" w:h="16838" w:orient="portrait"/>
          <w:cols w:equalWidth="0" w:num="2">
            <w:col w:w="1720" w:space="580"/>
            <w:col w:w="9000"/>
          </w:cols>
          <w:pgMar w:left="240" w:top="355" w:right="359" w:bottom="1440" w:gutter="0" w:footer="0" w:header="0"/>
          <w:type w:val="continuous"/>
        </w:sectPr>
      </w:pPr>
    </w:p>
    <w:p>
      <w:pPr>
        <w:jc w:val="both"/>
        <w:ind w:right="220"/>
        <w:spacing w:after="0" w:line="259" w:lineRule="auto"/>
        <w:rPr>
          <w:sz w:val="20"/>
          <w:szCs w:val="20"/>
          <w:color w:val="auto"/>
        </w:rPr>
      </w:pPr>
      <w:r>
        <w:rPr>
          <w:rFonts w:ascii="Arial" w:cs="Arial" w:eastAsia="Arial" w:hAnsi="Arial"/>
          <w:sz w:val="18"/>
          <w:szCs w:val="18"/>
          <w:color w:val="auto"/>
        </w:rPr>
        <w:t>This Quarterly Report on Form 10-Q is a combined report being filed by two different registrants: J.Crew Group, Inc. and J.Crew Operating Corp. (a wholly-owned indirect subsidiary of J.Crew Group, Inc.). The information contained herein relating to each individual registrant is filed by such registrant on its own behalf. No registrant makes any representation as to information relating to any other registrant.</w:t>
      </w:r>
    </w:p>
    <w:p>
      <w:pPr>
        <w:spacing w:after="0" w:line="127"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J.Crew Operating Corp. meets the conditions set forth in General Instruction (I)(1)(a) and (b) of the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35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January 29, 2005</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390" w:type="dxa"/>
            <w:vAlign w:val="bottom"/>
            <w:gridSpan w:val="2"/>
          </w:tcPr>
          <w:p>
            <w:pPr>
              <w:jc w:val="center"/>
              <w:ind w:left="544"/>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49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center"/>
              <w:ind w:right="1080"/>
              <w:spacing w:after="0" w:line="176" w:lineRule="exact"/>
              <w:rPr>
                <w:sz w:val="20"/>
                <w:szCs w:val="20"/>
                <w:color w:val="auto"/>
              </w:rPr>
            </w:pPr>
            <w:r>
              <w:rPr>
                <w:rFonts w:ascii="Arial" w:cs="Arial" w:eastAsia="Arial" w:hAnsi="Arial"/>
                <w:sz w:val="18"/>
                <w:szCs w:val="18"/>
                <w:color w:val="auto"/>
                <w:w w:val="85"/>
              </w:rPr>
              <w:t>Assets</w:t>
            </w:r>
          </w:p>
        </w:tc>
        <w:tc>
          <w:tcPr>
            <w:tcW w:w="346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89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10" w:type="dxa"/>
            <w:vAlign w:val="bottom"/>
            <w:tcBorders>
              <w:top w:val="single" w:sz="8" w:color="CCEEFF"/>
            </w:tcBorders>
          </w:tcPr>
          <w:p>
            <w:pPr>
              <w:spacing w:after="0"/>
              <w:rPr>
                <w:sz w:val="18"/>
                <w:szCs w:val="18"/>
                <w:color w:val="auto"/>
              </w:rPr>
            </w:pPr>
          </w:p>
        </w:tc>
        <w:tc>
          <w:tcPr>
            <w:tcW w:w="89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57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Merchandise inventories</w:t>
            </w:r>
          </w:p>
        </w:tc>
        <w:tc>
          <w:tcPr>
            <w:tcW w:w="3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88,093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Refundable income taxes</w:t>
            </w:r>
          </w:p>
        </w:tc>
        <w:tc>
          <w:tcPr>
            <w:tcW w:w="34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9,320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 at cost</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Less accumulated depreciation and amortization</w:t>
            </w:r>
          </w:p>
        </w:tc>
        <w:tc>
          <w:tcPr>
            <w:tcW w:w="34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90" w:type="dxa"/>
            <w:vAlign w:val="bottom"/>
            <w:gridSpan w:val="2"/>
          </w:tcPr>
          <w:p>
            <w:pPr>
              <w:jc w:val="right"/>
              <w:ind w:right="440"/>
              <w:spacing w:after="0"/>
              <w:rPr>
                <w:sz w:val="20"/>
                <w:szCs w:val="20"/>
                <w:color w:val="auto"/>
              </w:rPr>
            </w:pPr>
            <w:r>
              <w:rPr>
                <w:rFonts w:ascii="Arial" w:cs="Arial" w:eastAsia="Arial" w:hAnsi="Arial"/>
                <w:sz w:val="18"/>
                <w:szCs w:val="18"/>
                <w:color w:val="auto"/>
              </w:rPr>
              <w:t>(138,285)</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(151,490)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7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gridSpan w:val="5"/>
            <w:shd w:val="clear" w:color="auto" w:fill="CCEEFF"/>
          </w:tcPr>
          <w:p>
            <w:pPr>
              <w:jc w:val="center"/>
              <w:ind w:left="2932"/>
              <w:spacing w:after="0" w:line="176" w:lineRule="exact"/>
              <w:rPr>
                <w:sz w:val="20"/>
                <w:szCs w:val="20"/>
                <w:color w:val="auto"/>
              </w:rPr>
            </w:pPr>
            <w:r>
              <w:rPr>
                <w:rFonts w:ascii="Arial" w:cs="Arial" w:eastAsia="Arial" w:hAnsi="Arial"/>
                <w:sz w:val="18"/>
                <w:szCs w:val="18"/>
                <w:color w:val="auto"/>
                <w:w w:val="92"/>
              </w:rPr>
              <w:t>Liabilities and Stockholders’ Deficit</w:t>
            </w:r>
          </w:p>
        </w:tc>
        <w:tc>
          <w:tcPr>
            <w:tcW w:w="346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89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2560" w:type="dxa"/>
            <w:vAlign w:val="bottom"/>
            <w:tcBorders>
              <w:top w:val="single" w:sz="8" w:color="auto"/>
            </w:tcBorders>
            <w:gridSpan w:val="3"/>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10" w:type="dxa"/>
            <w:vAlign w:val="bottom"/>
            <w:tcBorders>
              <w:top w:val="single" w:sz="8" w:color="CCEEFF"/>
            </w:tcBorders>
          </w:tcPr>
          <w:p>
            <w:pPr>
              <w:spacing w:after="0"/>
              <w:rPr>
                <w:sz w:val="18"/>
                <w:szCs w:val="18"/>
                <w:color w:val="auto"/>
              </w:rPr>
            </w:pPr>
          </w:p>
        </w:tc>
        <w:tc>
          <w:tcPr>
            <w:tcW w:w="89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57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3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61,148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and state income taxes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40" w:type="dxa"/>
            <w:vAlign w:val="bottom"/>
            <w:gridSpan w:val="6"/>
          </w:tcPr>
          <w:p>
            <w:pPr>
              <w:spacing w:after="0"/>
              <w:rPr>
                <w:sz w:val="20"/>
                <w:szCs w:val="20"/>
                <w:color w:val="auto"/>
              </w:rPr>
            </w:pPr>
            <w:r>
              <w:rPr>
                <w:rFonts w:ascii="Arial" w:cs="Arial" w:eastAsia="Arial" w:hAnsi="Arial"/>
                <w:sz w:val="18"/>
                <w:szCs w:val="18"/>
                <w:color w:val="auto"/>
              </w:rPr>
              <w:t>Long-term debt</w:t>
            </w:r>
          </w:p>
        </w:tc>
        <w:tc>
          <w:tcPr>
            <w:tcW w:w="34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576,933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603,475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40" w:type="dxa"/>
            <w:vAlign w:val="bottom"/>
            <w:gridSpan w:val="6"/>
          </w:tcPr>
          <w:p>
            <w:pPr>
              <w:spacing w:after="0"/>
              <w:rPr>
                <w:sz w:val="20"/>
                <w:szCs w:val="20"/>
                <w:color w:val="auto"/>
              </w:rPr>
            </w:pPr>
            <w:r>
              <w:rPr>
                <w:rFonts w:ascii="Arial" w:cs="Arial" w:eastAsia="Arial" w:hAnsi="Arial"/>
                <w:sz w:val="18"/>
                <w:szCs w:val="18"/>
                <w:color w:val="auto"/>
              </w:rPr>
              <w:t>Stockholders’ deficit</w:t>
            </w:r>
          </w:p>
        </w:tc>
        <w:tc>
          <w:tcPr>
            <w:tcW w:w="34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390" w:type="dxa"/>
            <w:vAlign w:val="bottom"/>
            <w:gridSpan w:val="2"/>
          </w:tcPr>
          <w:p>
            <w:pPr>
              <w:jc w:val="right"/>
              <w:ind w:right="440"/>
              <w:spacing w:after="0"/>
              <w:rPr>
                <w:sz w:val="20"/>
                <w:szCs w:val="20"/>
                <w:color w:val="auto"/>
              </w:rPr>
            </w:pPr>
            <w:r>
              <w:rPr>
                <w:rFonts w:ascii="Arial" w:cs="Arial" w:eastAsia="Arial" w:hAnsi="Arial"/>
                <w:sz w:val="18"/>
                <w:szCs w:val="18"/>
                <w:color w:val="auto"/>
              </w:rPr>
              <w:t>(581,712)</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(580,326)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9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357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9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gridSpan w:val="5"/>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20" w:type="dxa"/>
            <w:vAlign w:val="bottom"/>
            <w:gridSpan w:val="5"/>
            <w:vMerge w:val="continue"/>
          </w:tcPr>
          <w:p>
            <w:pPr>
              <w:spacing w:after="0"/>
              <w:rPr>
                <w:sz w:val="24"/>
                <w:szCs w:val="24"/>
                <w:color w:val="auto"/>
              </w:rPr>
            </w:pPr>
          </w:p>
        </w:tc>
        <w:tc>
          <w:tcPr>
            <w:tcW w:w="34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2</w:t>
            </w: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-2967355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-2967355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-2967355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-2967355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-2967355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-2967355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-652145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-652145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-652145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-652145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-652145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-652145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2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5"/>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center"/>
              <w:ind w:left="41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4360" w:type="dxa"/>
            <w:vAlign w:val="bottom"/>
            <w:gridSpan w:val="2"/>
          </w:tcPr>
          <w:p>
            <w:pPr>
              <w:ind w:left="4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182,106</w:t>
            </w:r>
          </w:p>
        </w:tc>
        <w:tc>
          <w:tcPr>
            <w:tcW w:w="4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188,598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229,366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114,378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132,346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65,872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22,110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(13,762)</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60" w:type="dxa"/>
            <w:vAlign w:val="bottom"/>
          </w:tcPr>
          <w:p>
            <w:pPr>
              <w:jc w:val="right"/>
              <w:ind w:right="36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-557530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60" w:type="dxa"/>
            <w:vAlign w:val="bottom"/>
          </w:tcPr>
          <w:p>
            <w:pPr>
              <w:spacing w:after="0"/>
              <w:rPr>
                <w:sz w:val="22"/>
                <w:szCs w:val="22"/>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7"/>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5"/>
          </w:tcPr>
          <w:p>
            <w:pPr>
              <w:jc w:val="center"/>
              <w:ind w:left="41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4360" w:type="dxa"/>
            <w:vAlign w:val="bottom"/>
            <w:gridSpan w:val="2"/>
          </w:tcPr>
          <w:p>
            <w:pPr>
              <w:ind w:left="42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322,681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334,265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439,901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199,313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246,435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134,952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129,429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150,337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43,072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35,400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60" w:type="dxa"/>
            <w:vAlign w:val="bottom"/>
          </w:tcPr>
          <w:p>
            <w:pPr>
              <w:jc w:val="right"/>
              <w:ind w:right="36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2174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174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4"/>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2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8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(37,549)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w w:val="98"/>
              </w:rPr>
              <w:t>Non-cash interest expense (including redeemable preferred stock dividends of $15,716 and $19,186 in 2004 and 2005,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(28,349)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49,650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Dividends on preferred stock (reflected directly in stockholders’ deficit)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6,728</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-466725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-466725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-466725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-466725</wp:posOffset>
            </wp:positionV>
            <wp:extent cx="50990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January 29, 2005</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left="434"/>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center"/>
              <w:ind w:right="1080"/>
              <w:spacing w:after="0" w:line="176" w:lineRule="exact"/>
              <w:rPr>
                <w:sz w:val="20"/>
                <w:szCs w:val="20"/>
                <w:color w:val="auto"/>
              </w:rPr>
            </w:pPr>
            <w:r>
              <w:rPr>
                <w:rFonts w:ascii="Arial" w:cs="Arial" w:eastAsia="Arial" w:hAnsi="Arial"/>
                <w:sz w:val="18"/>
                <w:szCs w:val="18"/>
                <w:color w:val="auto"/>
                <w:w w:val="85"/>
              </w:rPr>
              <w:t>Assets</w:t>
            </w:r>
          </w:p>
        </w:tc>
        <w:tc>
          <w:tcPr>
            <w:tcW w:w="3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Merchandise inventories</w:t>
            </w: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Refundable income taxes</w:t>
            </w:r>
          </w:p>
        </w:tc>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 at cost</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Less accumulated depreciation and amortization</w:t>
            </w:r>
          </w:p>
        </w:tc>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(138,285)</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(151,490)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Due from J. Crew Group, Inc.</w:t>
            </w:r>
          </w:p>
        </w:tc>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178,757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Liabilities and Stockholder’s Deficit</w:t>
            </w:r>
          </w:p>
        </w:tc>
        <w:tc>
          <w:tcPr>
            <w:tcW w:w="2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8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and state income taxes</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40" w:type="dxa"/>
            <w:vAlign w:val="bottom"/>
            <w:gridSpan w:val="6"/>
          </w:tcPr>
          <w:p>
            <w:pPr>
              <w:spacing w:after="0"/>
              <w:rPr>
                <w:sz w:val="20"/>
                <w:szCs w:val="20"/>
                <w:color w:val="auto"/>
              </w:rPr>
            </w:pPr>
            <w:r>
              <w:rPr>
                <w:rFonts w:ascii="Arial" w:cs="Arial" w:eastAsia="Arial" w:hAnsi="Arial"/>
                <w:sz w:val="18"/>
                <w:szCs w:val="18"/>
                <w:color w:val="auto"/>
              </w:rPr>
              <w:t>Deferred credits</w:t>
            </w: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59,064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40" w:type="dxa"/>
            <w:vAlign w:val="bottom"/>
            <w:gridSpan w:val="6"/>
          </w:tcPr>
          <w:p>
            <w:pPr>
              <w:spacing w:after="0"/>
              <w:rPr>
                <w:sz w:val="20"/>
                <w:szCs w:val="20"/>
                <w:color w:val="auto"/>
              </w:rPr>
            </w:pPr>
            <w:r>
              <w:rPr>
                <w:rFonts w:ascii="Arial" w:cs="Arial" w:eastAsia="Arial" w:hAnsi="Arial"/>
                <w:sz w:val="18"/>
                <w:szCs w:val="18"/>
                <w:color w:val="auto"/>
              </w:rPr>
              <w:t>Stockholder’s deficit</w:t>
            </w: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368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gridSpan w:val="5"/>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34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20" w:type="dxa"/>
            <w:vAlign w:val="bottom"/>
            <w:gridSpan w:val="5"/>
            <w:vMerge w:val="continue"/>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ind w:left="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-2590165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-2590165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-2590165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-2590165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-2590165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-2590165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-557530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-557530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Thirteen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July 31, 2004</w:t>
            </w:r>
          </w:p>
        </w:tc>
        <w:tc>
          <w:tcPr>
            <w:tcW w:w="340" w:type="dxa"/>
            <w:vAlign w:val="bottom"/>
          </w:tcPr>
          <w:p>
            <w:pPr>
              <w:spacing w:after="0"/>
              <w:rPr>
                <w:sz w:val="22"/>
                <w:szCs w:val="22"/>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7"/>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(unaudited)</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4460" w:type="dxa"/>
            <w:vAlign w:val="bottom"/>
            <w:gridSpan w:val="2"/>
          </w:tcPr>
          <w:p>
            <w:pPr>
              <w:ind w:left="4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182,106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188,598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229,366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114,378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132,346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65,861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76,780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6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320" w:type="dxa"/>
            <w:vAlign w:val="bottom"/>
          </w:tcPr>
          <w:p>
            <w:pPr>
              <w:jc w:val="right"/>
              <w:ind w:right="371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-557530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-557530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5"/>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160" w:type="dxa"/>
            <w:vAlign w:val="bottom"/>
          </w:tcPr>
          <w:p>
            <w:pPr>
              <w:spacing w:after="0"/>
              <w:rPr>
                <w:sz w:val="22"/>
                <w:szCs w:val="22"/>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7"/>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5"/>
          </w:tcPr>
          <w:p>
            <w:pPr>
              <w:jc w:val="center"/>
              <w:ind w:left="377"/>
              <w:spacing w:after="0"/>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4400" w:type="dxa"/>
            <w:vAlign w:val="bottom"/>
            <w:gridSpan w:val="2"/>
          </w:tcPr>
          <w:p>
            <w:pPr>
              <w:ind w:left="4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322,681</w:t>
            </w:r>
          </w:p>
        </w:tc>
        <w:tc>
          <w:tcPr>
            <w:tcW w:w="24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334,265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439,901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199,313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246,435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134,952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193,466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129,408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150,085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10,092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vMerge w:val="restart"/>
          </w:tcPr>
          <w:p>
            <w:pPr>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4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260" w:type="dxa"/>
            <w:vAlign w:val="bottom"/>
          </w:tcPr>
          <w:p>
            <w:pPr>
              <w:jc w:val="right"/>
              <w:ind w:right="365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-557530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-557530</wp:posOffset>
            </wp:positionV>
            <wp:extent cx="48450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450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OPERATING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2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July 31, 2004</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July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6"/>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(4,548)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17,546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(28,349)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(6,686)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(5,944)</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Transfers to affiliates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(14,636)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49,650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40" w:type="dxa"/>
            <w:vAlign w:val="bottom"/>
            <w:gridSpan w:val="2"/>
          </w:tcPr>
          <w:p>
            <w:pPr>
              <w:jc w:val="right"/>
              <w:ind w:right="349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-557530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-557530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-557530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line="42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AND SUBSIDIARIES NOTES TO UNAUDITED CONDENSED CONSOLIDATED FINANCIAL STATEMENTS Thirteen and twenty-six weeks ended July 31, 2004 and July 30, 2005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presented herein are as follows:</w:t>
      </w:r>
    </w:p>
    <w:p>
      <w:pPr>
        <w:spacing w:after="0" w:line="7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J.Crew Operating Corp. and its wholly-owned subsidiaries (collectively, Operating).</w:t>
      </w:r>
    </w:p>
    <w:p>
      <w:pPr>
        <w:spacing w:after="0" w:line="76"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J.Crew Group, Inc. and its wholly-owned subsidiaries (collectively, the Company or Group), which consist of the accounts of J.Crew Group, Inc. and its wholly-owned subsidiaries, including J.Crew Intermediate LLC (Intermediate) and Operating. Intermediate was formed in March 2003 as a limited liability company. Effective May 2003, Group transferred its investment in Operating to Intermediate.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15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condensed consolidated balance sheets as of July 30, 2005, the condensed consolidated statements of operations for the thirteen and twenty-six week periods ended July 31, 2004 and July 30, 2005 and the condensed consolidated statements of cash flows for the twenty-six week periods ended July 31, 2004 and July 30, 2005 have been prepared by the Company and have not been audited. In the opinion of management, all adjustments, consisting of only normal recurring adjustments necessary for the fair presentation of the financial position, results of operations and cash flows have been made.</w:t>
      </w:r>
    </w:p>
    <w:p>
      <w:pPr>
        <w:spacing w:after="0" w:line="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consolidated financial statements for the fiscal year ended January 29,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results of operations for the twenty-six-week period ended July 30, 2005 are not necessarily indicative of the operating results for the full fiscal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8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In December 2004, the Financial Accounting Standards board (“FASB”) issued Statement No. 123(R), </w:t>
      </w:r>
      <w:r>
        <w:rPr>
          <w:rFonts w:ascii="Arial" w:cs="Arial" w:eastAsia="Arial" w:hAnsi="Arial"/>
          <w:sz w:val="15"/>
          <w:szCs w:val="15"/>
          <w:i w:val="1"/>
          <w:iCs w:val="1"/>
          <w:color w:val="auto"/>
        </w:rPr>
        <w:t>Share-Based Payments.</w:t>
      </w:r>
      <w:r>
        <w:rPr>
          <w:rFonts w:ascii="Arial" w:cs="Arial" w:eastAsia="Arial" w:hAnsi="Arial"/>
          <w:sz w:val="15"/>
          <w:szCs w:val="15"/>
          <w:color w:val="auto"/>
        </w:rPr>
        <w:t xml:space="preserve"> This revision to Statement No. 123 requires that compensation expense be recognized for the fair value of stock options over their vesting period and changes the method of expense recognition for performance-based stock awards. The Company is required to adopt the Statement for fiscal years beginning after December 15, 2005 and to apply it to all outstanding stock options and stock awards that have not yet vested at the date of adoption. Management is evaluating the effects of this Statement.</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May 2005, the FASB issued Statement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a replacement of APB Opinion No. 20,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w:t>
      </w:r>
      <w:r>
        <w:rPr>
          <w:rFonts w:ascii="Arial" w:cs="Arial" w:eastAsia="Arial" w:hAnsi="Arial"/>
          <w:sz w:val="16"/>
          <w:szCs w:val="16"/>
          <w:color w:val="auto"/>
        </w:rPr>
        <w:t>and FASB Statement No. 3,</w:t>
      </w:r>
      <w:r>
        <w:rPr>
          <w:rFonts w:ascii="Arial" w:cs="Arial" w:eastAsia="Arial" w:hAnsi="Arial"/>
          <w:sz w:val="16"/>
          <w:szCs w:val="16"/>
          <w:i w:val="1"/>
          <w:iCs w:val="1"/>
          <w:color w:val="auto"/>
        </w:rPr>
        <w:t xml:space="preserve"> Reporting Accounting Changes in Interim Financial Statements</w:t>
      </w:r>
      <w:r>
        <w:rPr>
          <w:rFonts w:ascii="Arial" w:cs="Arial" w:eastAsia="Arial" w:hAnsi="Arial"/>
          <w:sz w:val="16"/>
          <w:szCs w:val="16"/>
          <w:color w:val="auto"/>
        </w:rPr>
        <w:t>, effective for fiscal years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2005. Statement No. 154 changes the requirements for the accounting for and reporting of a voluntary change in accounting principle as well as the changes required by an accounting pronouncement that does not include specific transition provisions. The Company does not expect the implementation of Statement No. 154 to have a significant effect on the Company’s consolidated financial position, results of operations or cash flows.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January 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80" w:type="dxa"/>
            <w:vAlign w:val="bottom"/>
          </w:tcPr>
          <w:p>
            <w:pPr>
              <w:spacing w:after="0"/>
              <w:rPr>
                <w:sz w:val="21"/>
                <w:szCs w:val="21"/>
                <w:color w:val="auto"/>
              </w:rPr>
            </w:pPr>
          </w:p>
        </w:tc>
        <w:tc>
          <w:tcPr>
            <w:tcW w:w="16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Operating: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9¾% senior subordinated notes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$ 275,000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$ 275,000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5% notes payable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297,629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Group:</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line="218"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258,266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284,179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$ 576,933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$ 603,475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98171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171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an adjustment of $1.3 million in the first quarter of fiscal 2005 to reverse income recognized on unredeemed gift cards in prior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Reclassification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have been reclassified to conform to current year’s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Certain statements in this Report on Form 10-Q constitute “forward-looking statements” within the meaning of the Private Securities Litigation Reform Act of 1995. We may also make written or oral forward-looking statements in our periodic reports to the Securities and Exchange Commission on Forms 10-K,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Forward-looking statements speak only as of the date they are made and we undertake no obligation to update publicly any of them in light of new information or future events.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Management’s discussion and analysis of the results of operations are provided solely with respect to J.Crew Operating Corp. and its subsidiaries since substantially all of our operations are conducted by J.Crew Operating Corp. However, J.Crew Group, Inc. has additional debt securities and preferred stock outstanding, and its operations include equity related compensation. Accordingly, information with respect to interest expense of J.Crew Group, Inc. is also provided herein. The discussion of liquidity and capital resources pertains to J.Crew Group, Inc. and its consolidated subsidiaries, including J.Crew Operating Corp.</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document should be read in conjunction with the Management’s Discussion and Analysis section of our Annual Report on Form 10-K for the fiscal year ended January 29, 2005 filed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of Fiscal 2005 Compared to Second Quarter of Fiscal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for the second quarter of fiscal 2005 (the thirteen weeks ended July 30, 2005) increased by $40.8 million, or 21.6%, to $229.4 million from</w:t>
      </w:r>
    </w:p>
    <w:p>
      <w:pPr>
        <w:spacing w:after="0" w:line="3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$188.6 million in the second quarter of fiscal 2004. We believe the increase in revenues in the second quarter of fiscal 2005 resulted from our customer’s response to our continuing focus on the quality, styling and craftsmanship of our enhanced product line combined with our customer service initiatives.</w:t>
      </w:r>
    </w:p>
    <w:p>
      <w:pPr>
        <w:spacing w:after="0" w:line="7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Stores sales (which consists of sales at retail stores and factory stores) increased by $24.0 million, or 17.3%, to $162.7 million in the second quarter of fiscal 2005 from $138.7 million in the second quarter of fiscal 2004. This increase was due primarily to an increase of 14.9% in comparable store sales (sales at stores open at least twelve months). There were 156 retail stores and 43 factory stores open at July 30, 2005 compared to 155 retail stores and 42 factory stores at July 31, 2004.</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Direct sales (which consists of Internet and catalog sales) increased by $15.3 million, or 35.3%, to $58.7 million in the second quarter of fiscal 2005 from $43.4 million in the second quarter of fiscal 2004. Direct sales in the second quarter of fiscal 2005 were impacted by a 14% increase in the number of catalog pages circulated.</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Other revenues, which consist primarily of shipping and handling fees and royalties, increased to $8.0 million in the second quarter of fiscal 2005 from $6.5 million in the second quarter of fiscal 2004 due primarily to an increase in shipping and handling fees attributable to the increase in Direct sales.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Gross profit increased by $22.8 million, or 30.7%, to $97.0 million in the second quarter of fiscal 2005 from $74.2 million in the second quarter of fiscal 2004. Gross margin increased to 42.3% in the second quarter of fiscal 2005 from 39.4% in the second quarter of fiscal 2004, an increase of 290 basis points. This increase was attributable primarily to an increase in merchandise margins (which is equal to cost of goods sold, excluding buying and occupancy costs, as a percentage of revenues) resulting from decreased markdowns across all channels. Buying and occupancy costs as a percentage of revenues contributed 80 basis points to the improvement in gross margin.</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Selling, general and administrative expenses increased by $10.9 million, or 16.5%, to $76.8 million in the second quarter of fiscal 2005 from $65.9 million in the second quarter of fiscal 2004. This increase resulted primarily from increases in Direct and Stores variable operating expenses and employment expense. As a percentage of revenues, selling, general and administrative expenses decreased to 33.5% in the second quarter of fiscal 2005 from 34.9% in the second quarter of 2004 because these expenses increased at a slower rate than revenues.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Interest expense of Group decreased by $4.2 million to $17.9 million in the second quarter of fiscal 2005 from $22.1 million in the second quarter of fiscal 2004 due primarily to the debt refinancings in the fourth quarter of fiscal 2004 which reduced the amount of outstanding debt and the related interest rates. This decrease was partially offset by an increase in the redeemable preferred stock dividends of $1.8 million.</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of Operating increased by $2.2 million to $7.4 million in the second quarter of fiscal 2005 from $5.2 million in the second quarter of fiscal 2004. This increase resulted primarily from the increased debt outstanding at Operating due to the issuance of $275.0 million in new term notes with an interest rate of 9¾% in December 2004, the proceeds of which were used to redeem $125.0 million of 16% notes of Intermediate, in addition to the $150.0 million of 103/8% notes of Operating.</w:t>
      </w:r>
    </w:p>
    <w:p>
      <w:pPr>
        <w:sectPr>
          <w:pgSz w:w="11900" w:h="16838" w:orient="portrait"/>
          <w:cols w:equalWidth="0" w:num="1">
            <w:col w:w="11420"/>
          </w:cols>
          <w:pgMar w:left="240" w:top="274"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74" w:right="239" w:bottom="1440" w:gutter="0" w:footer="0" w:header="0"/>
          <w:type w:val="continuous"/>
        </w:sectPr>
      </w:pPr>
    </w:p>
    <w:bookmarkStart w:id="12" w:name="page13"/>
    <w:bookmarkEnd w:id="12"/>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provision for income taxes for the second quarter of 2005 is based on the estimated effective tax rate for the year, which differs from statutory rates due primarily to the utilization of operating loss carryovers, which for alternative minimum tax purposes are limited to 90% of taxable income in any fiscal year. Net deferred tax assets at January 29, 2005 and July 30, 2005 were fully reserved.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Half of Fiscal 2005 Compared to First Half of Fiscal 2004</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Revenues for the first half of fiscal 2005 (the twenty-six weeks ended July 30, 2005) increased by $105.6 million, or 31.6%, to $439.9 million from $334.3 million in the first half of fiscal 2004. We believe the increase in revenues resulted from our customer’s response to our continuing focus on the quality, styling and craftsmanship of our enhanced product line combined with our customer service initiatives. We note that the magnitude of the increase was impacted by reduced inventory levels in the first quarter of fiscal 2004.</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Stores sales increased by $65.2 million, or 26.9%, to $307.9 million in the first half of fiscal 2005 from $242.7 million in the first half of fiscal 2004. This increase was due primarily to an increase of 24.3% in comparable store sales.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Direct sales increased by $38.0 million, or 47.5%, to $118.0 million in the first half of fiscal 2005 from $80.0 million in the first half of fiscal 2004. Direct sales were impacted by an 18% increase in the number of catalog pages circulated. Furthermore, Direct sales in the first quarter of 2004 were adversely impacted by reduced inventory levels.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revenues increased to $14.0 million in the first half of fiscal 2005 from $11.6 million in the first half of fiscal 2004. This increase resulted primarily from an increase in shipping and handling fees attributable to the increase in Direct sales. We recorded an adjustment of $1.3 million in the first quarter of 2005 to reverse income recognized on unredeemed gift cards in prior years.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Gross profit increased by $58.5 million, or 43.3%, to $193.5 million in the first half of fiscal 2005 from $135.0 million in the first half of fiscal 2004. Gross margin increased to 44.0% of revenues in the first half of fiscal 2005 from 40.4% of revenues in the first half of fiscal 2004, an increase of 360 basis points. A decrease in buying and occupancy costs as a percentage of revenues contributed 200 basis points to the improvement in gross margin and the remaining increase resulted from an increase in merchandise margins from decreased markdowns across all sales channels.</w:t>
      </w:r>
    </w:p>
    <w:p>
      <w:pPr>
        <w:spacing w:after="0" w:line="99"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Selling, general and administrative expenses increased by $20.7 million, or 16.0%, to $150.1 million in the first half of fiscal 2005 from $129.4 million in the first half of fiscal 2004. This increase was attributable primarily to increases in Direct and stores variable operating expenses, and employment expense. As a percentage of revenues, selling, general and administrative expenses decreased to 34.1% in the first half of fiscal 2005 from 38.7% in the first half of fiscal 2004 because these expenses grew at a slower rate than revenues, particularly in the first quarter.</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of Group decreased by $7.7 million to $35.4 million in the first half of fiscal 2005 from $43.1 million in the first half of fiscal 2004 due primarily to the debt refinancings in the fourth quarter of fiscal 2004, which reduced the amount of outstanding debt and the related rates of interest. This decrease was offset by an increase of $3.5 million in redeemable preferred stock dividends.</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of Operating increased by $4.7 million to $14.8 million in the first half of fiscal 2005 from $10.1 million in the first half of fiscal 2004. This increase resulted primarily from the increased debt outstanding at Operating due to the issuance of $275.0 million in new term notes with an interest rate of 9 ¾% in December 2004, the proceeds of which were used to redeem $125.0 million of 16% notes of Intermediate, in addition to the $150.0 million of 10 3/8% notes of Operating.</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provision for income taxes for the first half of fiscal 2005 is based on the estimated effective tax rate for the year, which differs from statutory rates due primarily to the utilization of operating loss carryovers, which for alternative minimum tax purposes, are limited to 90% of taxable income in any fiscal year. Net deferred tax assets at January 29, 2005 and July 30, 2005 were fully reserved.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primary sources of liquidity are cash flows from operations and borrowings under the Amended Wachovia Credit Facility (as defined below). Our primary cash needs are capital expenditures in connection with opening new stores, making information technology system enhancements, meeting debt service requirements and funding working capital requirements.</w:t>
      </w:r>
    </w:p>
    <w:p>
      <w:pPr>
        <w:spacing w:after="0" w:line="12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Cash provided by operations increased by $21.7 million to $13.6 million in the first half of fiscal 2005 compared to a use of $8.1 million in the first half of fiscal 2004. This increase resulted from the increase in income from operations of $37.6 million, which was partially offset by an increase in cash interest of $4.9 million, a decrease in depreciation and amortization of $1.3 million and an increase in working capital requirements.</w:t>
      </w:r>
    </w:p>
    <w:p>
      <w:pPr>
        <w:spacing w:after="0" w:line="9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Capital expenditures were $8.7 million for the first half of fiscal 2005, compared to $5.9 million in the first half of fiscal 2004. Capital expenditures are planned at $25.0 million for fiscal 2005, including $12.0 million for information technology enhancements and $8.0 million for 10 new store openings.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Net cash used in financing activities in the first half of fiscal 2004 of $0.6 million consisted of repayments of a term loan under the Amended Wachovia Credit Facility. The exercise of stock options provided cash of $1.0 million in the first half of fiscal 2005.</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Credit Facility</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23, 2004, Operating entered into a Loan and Security Agreement (the “Credit Facility”) with Wachovia Bank, N.A., as arranger, Congress Financial Corporation, as administrative and collateral agent, and a syndicate of lenders. The Credit Facility provides for revolving loans and letters of credit of up to $170.0 million (which can be increased to $250.0 million subject to certain conditions) at floating interest rates based on Wachovia’s prime rate plus a margin of up to 0.25% or LIBOR plus a margin ranging from 1.25% to 2.00%. The total amount of availability is limited to the sum of (a) invested cash, (b) 90% of eligible receivables, (c) 95% of the net recovery percentage of inventories (as determined by inventory appraisal) for the period August 1 through December 15, or 92.5% of the net recovery percentage of inventories for the period December 16 through July 31, and (d) real estate availability of 65% of appraised fair market value. The Credit Facility expires in December 2009. Borrowings under the Credit Facility are guaranteed by us, Intermediate and an indirect subsidiary of Operating and are secured by a perfected first priority security interest in substantially all of our and our subsidiaries’ assets.</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Credit Facility includes restrictions on our ability to incur additional indebtedness, pay dividends or make other distributions, make investments, make loans and make capital expenditures. We are required to maintain a fixed interest charge coverage ratio of 1.1x if excess availability is less than $20.0 million for any 30 consecutive day period. We have at all times been in compliance with all financial covenants under the Credit Facility.</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July 30, 2005, there was $54.2 million in excess availability under the Credit Facility. There were no short-term borrowings under the Credit Facility during the six-month period ended July 30, 2005 or July 31, 2004.</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anticipate that capital expenditures in fiscal 2005 will be approximately $25.0 million, primarily for opening 10 new stores and information technology enhancements.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Management believes that invested cash, cash flow from operations, and availability under the Credit Facility will provide adequate funds for our foreseeable working capital needs, planned capital expenditures and debt service obligations. Our ability to fund our operations and make planned capital expenditures, to make scheduled debt payments, to refinance indebtedness and to remain in compliance with the financial covenants under our debt agreements depends on our future operating performance and cash flow, which in turn, are subject to prevailing economic conditions and to financial, business and other factors, some of which are beyond our control.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17, 2005, the Company filed a Registration Statement on Form S-1 with the U.S. Securities and Exchange Commission relating to the proposed initial public offering of its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enter into documentary letters of credit to facilitate the international purchase of merchandise. We also enter into standby letters of credit to secure certain of our obligations, including insurance programs and duties related to import purchases. As of July 30, 2005, we had the following obligations under letters of credit in future periods.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1"/>
              </w:rPr>
              <w:t>Within 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3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40"/>
              <w:spacing w:after="0"/>
              <w:rPr>
                <w:sz w:val="20"/>
                <w:szCs w:val="20"/>
                <w:color w:val="auto"/>
              </w:rPr>
            </w:pPr>
            <w:r>
              <w:rPr>
                <w:rFonts w:ascii="Arial" w:cs="Arial" w:eastAsia="Arial" w:hAnsi="Arial"/>
                <w:sz w:val="18"/>
                <w:szCs w:val="18"/>
                <w:color w:val="auto"/>
              </w:rPr>
              <w:t>Standby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Documentary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34734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July 30, 2005 and the effect such obligations are expected to have on our liquidity and cash flows in future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6"/>
          </w:tcPr>
          <w:p>
            <w:pPr>
              <w:jc w:val="center"/>
              <w:ind w:left="22"/>
              <w:spacing w:after="0"/>
              <w:rPr>
                <w:sz w:val="20"/>
                <w:szCs w:val="20"/>
                <w:color w:val="auto"/>
              </w:rPr>
            </w:pPr>
            <w:r>
              <w:rPr>
                <w:rFonts w:ascii="Arial" w:cs="Arial" w:eastAsia="Arial" w:hAnsi="Arial"/>
                <w:sz w:val="14"/>
                <w:szCs w:val="14"/>
                <w:b w:val="1"/>
                <w:bCs w:val="1"/>
                <w:color w:val="auto"/>
                <w:w w:val="85"/>
              </w:rPr>
              <w:t>Payments Due By Period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1"/>
              </w:rPr>
              <w:t>Within 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After 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0"/>
              </w:rPr>
              <w:t>2-3 Years</w:t>
            </w:r>
          </w:p>
        </w:tc>
        <w:tc>
          <w:tcPr>
            <w:tcW w:w="2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4-5 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 in millions)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 commitments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Employment agreements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purchase obligations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318.2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-172720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-172720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24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rental markets and are entered into at different times, which mitigates exposure to market changes that could have a material effect on our results of operations within any given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Approximately 33% of our revenues in fiscal year 2004 occurred in the fourth quarter. Our working capital requirements also fluctuate throughout the year increasing substantially in September and October in anticipation of holiday season inventory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A summary of our critical accounting policies is included in the Management’s Discussion and Analysis section of our Annual Report on Form 10-K for the fiscal year ended January 29, 2005 filed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83"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Our principal market risk relates to interest rate sensitivity, which is the risk that future changes in interest rates will reduce our net income or net assets. Our variable rate debt consists of borrowings under the Credit Facility. The interest rates are a function of Wachovia’s prime rate or LIBOR. A one percentage point increase in the base interest rate would result in approximately $100,000 change in income before taxes for each $10.0 million of borrowings.</w:t>
      </w:r>
    </w:p>
    <w:p>
      <w:pPr>
        <w:spacing w:after="0" w:line="75"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We have a licensing agreement in Japan that provides for royalty payments in yen based on sales of J.Crew merchandise. We have entered into forward foreign exchange contracts from time to time in order to minimize this risk. At July 30, 2005, there were no forward foreign exchange contracts outstanding.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3"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enter into letters of credit to facilitate the international purchase of merchandise. The letters of credit are primarily denominated in U.S. dollars.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Outstanding letters of credit at July 30, 2005 were $60.8 million, including $5.7 million of standby letters of credit.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With the participation of the Company’s management, including the Chief Executive Officer and the Chief Financial Officer, the Company has conducted an evaluation of its disclosure controls and procedures as of the end of the period covered by this Report. Based on such evaluation, the Company’s Chief Executive Officer and the Chief Financial Officer have concluded that the Company’s disclosure controls and procedures were effective as of the end of the period covered by this Report.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significant changes in the Company’s internal controls over financial reporting during the period covered by this Report that have materially affected, or are reasonably likely to materially affect, the Company’s internal controls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ind w:left="4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Section 302 of the Sarbanes – Oxley Act of 2002.</w:t>
      </w:r>
    </w:p>
    <w:p>
      <w:pPr>
        <w:spacing w:after="0" w:line="1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Section 302 of the Sarbanes – Oxley Act of 2002.</w:t>
      </w:r>
    </w:p>
    <w:p>
      <w:pPr>
        <w:spacing w:after="0" w:line="1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and Chief Financial Officer pursuant to Section 906 of the Sarbanes – Oxley Act of 2002.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reports on Form 8-K was filed during the quarter covered by this report:</w:t>
      </w:r>
    </w:p>
    <w:p>
      <w:pPr>
        <w:spacing w:after="0" w:line="7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8-K filed on May 18, 2005 relating to the Board of Directors’ approval of the grant to certain directors of a non-qualified option to purchase an additional 10,000 shares of the Company’s common stock as part of their 2005 compensation.</w:t>
      </w:r>
    </w:p>
    <w:p>
      <w:pPr>
        <w:spacing w:after="0" w:line="37" w:lineRule="exact"/>
        <w:rPr>
          <w:rFonts w:ascii="Arial" w:cs="Arial" w:eastAsia="Arial" w:hAnsi="Arial"/>
          <w:sz w:val="18"/>
          <w:szCs w:val="18"/>
          <w:color w:val="auto"/>
        </w:rPr>
      </w:pPr>
    </w:p>
    <w:p>
      <w:pPr>
        <w:ind w:left="900" w:right="38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8-K filed on June 1, 2005 relating to the resignation of Amanda Bokman as the Company’s Executive Vice-President and Chief Financial Officer.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8-K filed on June 10, 2005 relating to the announcement of the Company’s financial results for the quarterly period ended April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00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Pursuant to the requirements of the Securities Exchange Act of 1934, each Registrant has duly caused this report to be signed on its behalf by the undersigned thereunto duly authorized. The signature for each undersigned company shall be deemed to relate only to matters having reference to such company.</w:t>
      </w:r>
    </w:p>
    <w:p>
      <w:pPr>
        <w:spacing w:after="0" w:line="4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60" w:val="left"/>
          <w:tab w:leader="none" w:pos="5680" w:val="left"/>
        </w:tabs>
        <w:rPr>
          <w:sz w:val="20"/>
          <w:szCs w:val="20"/>
          <w:color w:val="auto"/>
        </w:rPr>
      </w:pPr>
      <w:r>
        <w:rPr>
          <w:rFonts w:ascii="Arial" w:cs="Arial" w:eastAsia="Arial" w:hAnsi="Arial"/>
          <w:sz w:val="18"/>
          <w:szCs w:val="18"/>
          <w:color w:val="auto"/>
        </w:rPr>
        <w:t>Date:</w:t>
        <w:tab/>
        <w:t>September 13, 2005</w:t>
      </w:r>
      <w:r>
        <w:rPr>
          <w:sz w:val="20"/>
          <w:szCs w:val="20"/>
          <w:color w:val="auto"/>
        </w:rPr>
        <w:tab/>
      </w:r>
      <w:r>
        <w:rPr>
          <w:rFonts w:ascii="Arial" w:cs="Arial" w:eastAsia="Arial" w:hAnsi="Arial"/>
          <w:sz w:val="16"/>
          <w:szCs w:val="16"/>
          <w:color w:val="auto"/>
        </w:rPr>
        <w:t>By: /s/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744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tabs>
          <w:tab w:leader="none" w:pos="560" w:val="left"/>
          <w:tab w:leader="none" w:pos="5680" w:val="left"/>
        </w:tabs>
        <w:rPr>
          <w:sz w:val="20"/>
          <w:szCs w:val="20"/>
          <w:color w:val="auto"/>
        </w:rPr>
      </w:pPr>
      <w:r>
        <w:rPr>
          <w:rFonts w:ascii="Arial" w:cs="Arial" w:eastAsia="Arial" w:hAnsi="Arial"/>
          <w:sz w:val="18"/>
          <w:szCs w:val="18"/>
          <w:color w:val="auto"/>
        </w:rPr>
        <w:t>Date:</w:t>
        <w:tab/>
        <w:t>September 13, 2005</w:t>
      </w:r>
      <w:r>
        <w:rPr>
          <w:sz w:val="20"/>
          <w:szCs w:val="20"/>
          <w:color w:val="auto"/>
        </w:rPr>
        <w:tab/>
      </w:r>
      <w:r>
        <w:rPr>
          <w:rFonts w:ascii="Arial" w:cs="Arial" w:eastAsia="Arial" w:hAnsi="Arial"/>
          <w:sz w:val="16"/>
          <w:szCs w:val="16"/>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744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S. Scully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 CREW OPERATING CORP.</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60" w:val="left"/>
          <w:tab w:leader="none" w:pos="5680" w:val="left"/>
        </w:tabs>
        <w:rPr>
          <w:sz w:val="20"/>
          <w:szCs w:val="20"/>
          <w:color w:val="auto"/>
        </w:rPr>
      </w:pPr>
      <w:r>
        <w:rPr>
          <w:rFonts w:ascii="Arial" w:cs="Arial" w:eastAsia="Arial" w:hAnsi="Arial"/>
          <w:sz w:val="18"/>
          <w:szCs w:val="18"/>
          <w:color w:val="auto"/>
        </w:rPr>
        <w:t>Date:</w:t>
        <w:tab/>
        <w:t>September 13, 2005</w:t>
      </w:r>
      <w:r>
        <w:rPr>
          <w:sz w:val="20"/>
          <w:szCs w:val="20"/>
          <w:color w:val="auto"/>
        </w:rPr>
        <w:tab/>
      </w:r>
      <w:r>
        <w:rPr>
          <w:rFonts w:ascii="Arial" w:cs="Arial" w:eastAsia="Arial" w:hAnsi="Arial"/>
          <w:sz w:val="16"/>
          <w:szCs w:val="16"/>
          <w:color w:val="auto"/>
        </w:rPr>
        <w:t>By: /s/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744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Officer</w:t>
      </w:r>
    </w:p>
    <w:p>
      <w:pPr>
        <w:spacing w:after="0" w:line="232" w:lineRule="exact"/>
        <w:rPr>
          <w:sz w:val="20"/>
          <w:szCs w:val="20"/>
          <w:color w:val="auto"/>
        </w:rPr>
      </w:pPr>
    </w:p>
    <w:p>
      <w:pPr>
        <w:spacing w:after="0"/>
        <w:tabs>
          <w:tab w:leader="none" w:pos="560" w:val="left"/>
          <w:tab w:leader="none" w:pos="5680" w:val="left"/>
        </w:tabs>
        <w:rPr>
          <w:sz w:val="20"/>
          <w:szCs w:val="20"/>
          <w:color w:val="auto"/>
        </w:rPr>
      </w:pPr>
      <w:r>
        <w:rPr>
          <w:rFonts w:ascii="Arial" w:cs="Arial" w:eastAsia="Arial" w:hAnsi="Arial"/>
          <w:sz w:val="18"/>
          <w:szCs w:val="18"/>
          <w:color w:val="auto"/>
        </w:rPr>
        <w:t>Date:</w:t>
        <w:tab/>
        <w:t>September 13, 2005</w:t>
      </w:r>
      <w:r>
        <w:rPr>
          <w:sz w:val="20"/>
          <w:szCs w:val="20"/>
          <w:color w:val="auto"/>
        </w:rPr>
        <w:tab/>
      </w:r>
      <w:r>
        <w:rPr>
          <w:rFonts w:ascii="Arial" w:cs="Arial" w:eastAsia="Arial" w:hAnsi="Arial"/>
          <w:sz w:val="16"/>
          <w:szCs w:val="16"/>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744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S. Scully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Millard S. Drexler, certify that:</w:t>
      </w:r>
    </w:p>
    <w:p>
      <w:pPr>
        <w:spacing w:after="0" w:line="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 and J.Crew Operating Corp.</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4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registrant’s other certifying officer and I are responsible for establishing and maintaining disclosure controls and procedures (as defined in Exchange Act Rules 13a-15(e) and 15d-15(e)) for such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940" w:hanging="446"/>
        <w:spacing w:after="0" w:line="347" w:lineRule="auto"/>
        <w:tabs>
          <w:tab w:leader="none" w:pos="90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ind w:left="900" w:right="2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registrant’s other certifying officer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James S. Scully, certify that:</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J.Crew Group, Inc. and J.Crew Operating Corp.</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4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registrant’s other certifying officer and I are responsible for establishing and maintaining disclosure controls and procedures (as defined in Exchange Act Rules 13a-15(e) and 15d-15(e)) for such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940" w:hanging="446"/>
        <w:spacing w:after="0" w:line="347" w:lineRule="auto"/>
        <w:tabs>
          <w:tab w:leader="none" w:pos="90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ind w:left="900" w:right="2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such registrant’s internal control over financial reporting that occurred during the registrant’s most recent fiscal quarter (the registrant’s fourth fiscal quarter in the case of an annual report) that has materially affected, or is reasonably likely to materially affect, such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registrant’s other certifying officer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such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James S. Scully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Quarterly Report of J.Crew Group, Inc. and J.Crew Operating Corp. (collectively, the “Company”) on Form 10-Q for the period ended July 30, 2005 as filed with the Securities and Exchange Commission on the date hereof (the “Report”), we, Millard S. Drexler, Chairman of the Board and Chief Executive Officer of the Company, and James S. Scully, Executive Vice President and Chief Financial Officer of the Company, certify, pursuant to 18 U.S.C. Section 1350, as adopted pursuant to Section 906 of the Sarbanes-Oxley Act of 2002, that to the best of each of our knowledge:</w:t>
      </w:r>
    </w:p>
    <w:p>
      <w:pPr>
        <w:spacing w:after="0" w:line="1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Millard S.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641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Millard S. Drexler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64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2019-12-14T19:08:39Z</dcterms:created>
  <dcterms:modified xsi:type="dcterms:W3CDTF">2019-12-14T19:08:39Z</dcterms:modified>
</cp:coreProperties>
</file>