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173355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159385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J.Crew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159385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333-175075</w:t>
      </w:r>
    </w:p>
    <w:p>
      <w:pPr>
        <w:sectPr>
          <w:pgSz w:w="11900" w:h="16838" w:orient="portrait"/>
          <w:cols w:equalWidth="0" w:num="1">
            <w:col w:w="11420"/>
          </w:cols>
          <w:pgMar w:left="240" w:top="362" w:right="239" w:bottom="1440" w:gutter="0" w:footer="0" w:header="0"/>
        </w:sectPr>
      </w:pPr>
    </w:p>
    <w:p>
      <w:pPr>
        <w:spacing w:after="0" w:line="25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22-2894486</w:t>
      </w:r>
    </w:p>
    <w:p>
      <w:pPr>
        <w:spacing w:after="0" w:line="12" w:lineRule="exact"/>
        <w:rPr>
          <w:sz w:val="24"/>
          <w:szCs w:val="24"/>
          <w:color w:val="auto"/>
        </w:rPr>
      </w:pPr>
    </w:p>
    <w:p>
      <w:pPr>
        <w:sectPr>
          <w:pgSz w:w="11900" w:h="16838" w:orient="portrait"/>
          <w:cols w:equalWidth="0" w:num="2">
            <w:col w:w="7460" w:space="720"/>
            <w:col w:w="3240"/>
          </w:cols>
          <w:pgMar w:left="240" w:top="362" w:right="23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2">
            <w:col w:w="7340" w:space="720"/>
            <w:col w:w="3360"/>
          </w:cols>
          <w:pgMar w:left="240" w:top="362"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225 Liberty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10281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209-2500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420"/>
          </w:cols>
          <w:pgMar w:left="240" w:top="362" w:right="239" w:bottom="144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142240</wp:posOffset>
            </wp:positionV>
            <wp:extent cx="1149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6"/>
              </w:rPr>
              <w:t>N/A</w:t>
            </w:r>
          </w:p>
        </w:tc>
        <w:tc>
          <w:tcPr>
            <w:tcW w:w="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May 29, 2019, J.Crew Group, Inc. issued a press release announcing the Company’s financial results for the first quarter ended May 4, 2019. The Company is furnishing a copy of the press release hereto as Exhibit 99.1.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Not applicable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issued by J.Crew Group, Inc. on May 29, 2019</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J.CREW GROUP, INC.</w:t>
            </w:r>
          </w:p>
        </w:tc>
      </w:tr>
      <w:tr>
        <w:trPr>
          <w:trHeight w:val="45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2019</w:t>
            </w:r>
          </w:p>
        </w:tc>
        <w:tc>
          <w:tcPr>
            <w:tcW w:w="786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By: /s/ V</w:t>
            </w:r>
            <w:r>
              <w:rPr>
                <w:rFonts w:ascii="Times New Roman" w:cs="Times New Roman" w:eastAsia="Times New Roman" w:hAnsi="Times New Roman"/>
                <w:sz w:val="13"/>
                <w:szCs w:val="13"/>
                <w:color w:val="auto"/>
              </w:rPr>
              <w:t>INCENT</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3"/>
                <w:szCs w:val="13"/>
                <w:color w:val="auto"/>
              </w:rPr>
              <w:t>ANNA</w:t>
            </w:r>
          </w:p>
        </w:tc>
      </w:tr>
      <w:tr>
        <w:trPr>
          <w:trHeight w:val="191"/>
        </w:trPr>
        <w:tc>
          <w:tcPr>
            <w:tcW w:w="35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Vincent Zanna</w:t>
            </w:r>
          </w:p>
        </w:tc>
      </w:tr>
      <w:tr>
        <w:trPr>
          <w:trHeight w:val="234"/>
        </w:trPr>
        <w:tc>
          <w:tcPr>
            <w:tcW w:w="3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891"/>
        </w:trPr>
        <w:tc>
          <w:tcPr>
            <w:tcW w:w="3560" w:type="dxa"/>
            <w:vAlign w:val="bottom"/>
          </w:tcPr>
          <w:p>
            <w:pPr>
              <w:spacing w:after="0"/>
              <w:rPr>
                <w:sz w:val="24"/>
                <w:szCs w:val="24"/>
                <w:color w:val="auto"/>
              </w:rPr>
            </w:pPr>
          </w:p>
        </w:tc>
        <w:tc>
          <w:tcPr>
            <w:tcW w:w="35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(212) 209-8090</w:t>
      </w:r>
    </w:p>
    <w:p>
      <w:pPr>
        <w:spacing w:after="0" w:line="20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Allison Malkin / Joe Teklits</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(203) 682-8200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 ANNOUNCES FIRST QUARTER FISCAL 2019 RESULTS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NEW YORK, May 29, 2019 — J.Crew Group, Inc. (the “Company”) today announced financial results for the three months ended May 4,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121" w:lineRule="exact"/>
        <w:rPr>
          <w:sz w:val="20"/>
          <w:szCs w:val="20"/>
          <w:color w:val="auto"/>
        </w:rPr>
      </w:pPr>
    </w:p>
    <w:p>
      <w:pPr>
        <w:ind w:left="10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7% to $578.5 million. Comparable company sales increased 1% following an increase of 1% in the first quarter last year.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J.Crew sales decreased 4% to $376.1 million. J.Crew comparable sales decreased 1% following a decrease of 6% in the first quarter last year.</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Madewell sales increased 15% to $132.9 million. Madewell comparable sales increased 10% following an increase of 31% in the first quarter last year.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to 37.0% from 38.3% in the first quarter last year.</w:t>
      </w:r>
    </w:p>
    <w:p>
      <w:pPr>
        <w:spacing w:after="0" w:line="117" w:lineRule="exact"/>
        <w:rPr>
          <w:rFonts w:ascii="Times New Roman" w:cs="Times New Roman" w:eastAsia="Times New Roman" w:hAnsi="Times New Roman"/>
          <w:sz w:val="18"/>
          <w:szCs w:val="18"/>
          <w:color w:val="auto"/>
        </w:rPr>
      </w:pPr>
    </w:p>
    <w:p>
      <w:pPr>
        <w:ind w:left="1040" w:right="20" w:hanging="519"/>
        <w:spacing w:after="0" w:line="25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$189.8 million, or 32.8% of revenues, compared to $200.8 million, or 37.2% of revenues in the first quarter last year. This year includes transformation, transaction and severance costs of $6.4 million and a benefit of $6.0 million related to the lease termination payment in connection with our corporate headquarters relocation. Last year includes transformation, transaction and severance costs of $6.5 million. Excluding these items, selling, general and administrative expenses were $189.4 million, or 32.7% of revenues, compared to $194.3 million, or 36.0% of revenues, in the first quarter last year.</w:t>
      </w:r>
    </w:p>
    <w:p>
      <w:pPr>
        <w:spacing w:after="0" w:line="7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$22.1 million compared with an operating loss of $0.9 million in the first quarter last year.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$16.2 million compared to $33.9 million in the first quarter last year.</w:t>
      </w:r>
    </w:p>
    <w:p>
      <w:pPr>
        <w:spacing w:after="0" w:line="117" w:lineRule="exact"/>
        <w:rPr>
          <w:rFonts w:ascii="Times New Roman" w:cs="Times New Roman" w:eastAsia="Times New Roman" w:hAnsi="Times New Roman"/>
          <w:sz w:val="18"/>
          <w:szCs w:val="18"/>
          <w:color w:val="auto"/>
        </w:rPr>
      </w:pPr>
    </w:p>
    <w:p>
      <w:pPr>
        <w:ind w:left="1040" w:right="400" w:hanging="519"/>
        <w:spacing w:after="0" w:line="313" w:lineRule="auto"/>
        <w:tabs>
          <w:tab w:leader="none" w:pos="10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increased $11.4 million, or 31%, to $48.3 million from $36.9 million in the first quarter last year. An explanation of the manner in which the Company uses Adjusted EBITDA and a reconciliation to comparable GAAP measures are included in Exhibit (3).</w:t>
      </w:r>
    </w:p>
    <w:p>
      <w:pPr>
        <w:spacing w:after="0" w:line="138"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Michael J. Nicholson, Interim Chief Executive Officer, commented, “We are encouraged by the meaningful progress we have made in the first quarter, reporting a 31% increase in adjusted EBITDA driven by continued momentum at Madewell and the early impact of our swift actions to improve profitability at J.Crew. As we look ahead, we are optimistic about our plans to reignite the J.Crew Brand with new designs, assortments and brand expressions, and remain steadfast in our commitment towards achieving Madewell’s long-term growth potential as a leading global brand.”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21"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$30.2 million compared to $36.0 million at the end of the first quarter last year.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21% to $418.0 million from $345.3 million at the end of the first quarter last year.</w:t>
      </w:r>
    </w:p>
    <w:p>
      <w:pPr>
        <w:spacing w:after="0" w:line="117" w:lineRule="exact"/>
        <w:rPr>
          <w:rFonts w:ascii="Times New Roman" w:cs="Times New Roman" w:eastAsia="Times New Roman" w:hAnsi="Times New Roman"/>
          <w:sz w:val="18"/>
          <w:szCs w:val="18"/>
          <w:color w:val="auto"/>
        </w:rPr>
      </w:pPr>
    </w:p>
    <w:p>
      <w:pPr>
        <w:jc w:val="both"/>
        <w:ind w:left="1040" w:right="14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net of discount and deferred financing costs, was $1,704.2 million compared to $1,711.4 million at the end of the first quarter last year. Additionally, there were $215.8 million of outstanding borrowings under the ABL Facility, with excess availability of $94.7 million, at the end of the first quarter this year. As of the date of this release, there were outstanding borrowings of approximately $198 million under the ABL Facility, with excess availability of approximately $113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2019, the Company adopted pronouncements that were issued with respect to the accounting for leases. The pronouncements require lessees to recognize right-of-use lease assets (“ROU assets”) and right-of-use lease liabilities (“ROU liabilities”) for leases with terms of more than one year. The ROU liabilities are measured as the present value of the lease obligations. The ROU assets reflect the amount of the ROU liabilities less lease-related deferred credits. Upon adoption of the new standard, the Company recorded a significant gross-up to the balance sheet, including ROU assets of $533.5 million and ROU liabilities of $624.6 million. The Company used the effective date method whereby initial application occurred on the date of adoption with comparative periods unchanged. For more information on the adoption of the pronouncement, see the Company’s Form 10-Q for the quarterly period ended May 4,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Company Assesses the Performance of its Business</w:t>
      </w:r>
    </w:p>
    <w:p>
      <w:pPr>
        <w:spacing w:after="0" w:line="121"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its business, the Company considers a variety of performance and financial measures. A key measure used in its evaluation is comparable company sales, which includes (i) net sales from stores that have been open for at least 12 months, (ii) e-commerce net sales, and</w:t>
      </w:r>
    </w:p>
    <w:p>
      <w:pPr>
        <w:ind w:right="460" w:firstLine="8"/>
        <w:spacing w:after="0" w:line="204"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fees. Due to the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in fiscal 2017, when calculating comparable company sales for the first quarter of fiscal 2018, the Company realigned the weeks of the first quarter of fiscal 2017 to be consistent with the fiscal 2018 retail calendar.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 conference call to discuss first quarter results is scheduled for today, May 29, 2019, at 4:30 PM Eastern Time. Investors and analysts interested in listening to the call are invited to dial (877) 407-3982 approximately ten minutes prior to the start of the call. The conference call will also be simultaneously webcast at www.jcrew.com. A replay of this call will be available until June 5, 2019 and can be accessed by dialing (844) 512-2921 and entering conference ID number 13690148.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J.Crew Group, Inc.</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J.Crew Group, Inc. is an internationally recognized omni-channel retailer of women’s, men’s and children’s apparel, shoes and accessories. As of May 29, 2019, the Company operates 195 J.Crew retail stores, 132 Madewell stores, jcrew.com, jcrewfactory.com, madewell.com, and 173 factory stores (including 41 J.Crew Mercantile stores). Certain product, press release and SEC filing information concerning the Company are available at the Company’s website www.jcrew.com.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Exhibit (1)</w:t>
            </w:r>
          </w:p>
        </w:tc>
        <w:tc>
          <w:tcPr>
            <w:tcW w:w="0" w:type="dxa"/>
            <w:vAlign w:val="bottom"/>
          </w:tcPr>
          <w:p>
            <w:pPr>
              <w:spacing w:after="0"/>
              <w:rPr>
                <w:sz w:val="1"/>
                <w:szCs w:val="1"/>
                <w:color w:val="auto"/>
              </w:rPr>
            </w:pPr>
          </w:p>
        </w:tc>
      </w:tr>
      <w:tr>
        <w:trPr>
          <w:trHeight w:val="432"/>
        </w:trPr>
        <w:tc>
          <w:tcPr>
            <w:tcW w:w="7680" w:type="dxa"/>
            <w:vAlign w:val="bottom"/>
          </w:tcPr>
          <w:p>
            <w:pPr>
              <w:jc w:val="center"/>
              <w:ind w:left="3651"/>
              <w:spacing w:after="0"/>
              <w:rPr>
                <w:sz w:val="20"/>
                <w:szCs w:val="20"/>
                <w:color w:val="auto"/>
              </w:rPr>
            </w:pPr>
            <w:r>
              <w:rPr>
                <w:rFonts w:ascii="Times New Roman" w:cs="Times New Roman" w:eastAsia="Times New Roman" w:hAnsi="Times New Roman"/>
                <w:sz w:val="18"/>
                <w:szCs w:val="18"/>
                <w:b w:val="1"/>
                <w:bCs w:val="1"/>
                <w:color w:val="auto"/>
              </w:rPr>
              <w:t>J.Crew Group, Inc.</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tcPr>
          <w:p>
            <w:pPr>
              <w:jc w:val="center"/>
              <w:ind w:left="3651"/>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80" w:type="dxa"/>
            <w:vAlign w:val="bottom"/>
          </w:tcPr>
          <w:p>
            <w:pPr>
              <w:jc w:val="center"/>
              <w:ind w:left="3651"/>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24"/>
                <w:szCs w:val="24"/>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173"/>
        </w:trPr>
        <w:tc>
          <w:tcPr>
            <w:tcW w:w="7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20" w:type="dxa"/>
            <w:vAlign w:val="bottom"/>
          </w:tcPr>
          <w:p>
            <w:pPr>
              <w:spacing w:after="0"/>
              <w:rPr>
                <w:sz w:val="15"/>
                <w:szCs w:val="15"/>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0" w:type="dxa"/>
            <w:vAlign w:val="bottom"/>
          </w:tcPr>
          <w:p>
            <w:pPr>
              <w:spacing w:after="0"/>
              <w:rPr>
                <w:sz w:val="1"/>
                <w:szCs w:val="1"/>
                <w:color w:val="auto"/>
              </w:rPr>
            </w:pPr>
          </w:p>
        </w:tc>
      </w:tr>
      <w:tr>
        <w:trPr>
          <w:trHeight w:val="21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J.Crew</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376,082</w:t>
            </w:r>
          </w:p>
        </w:tc>
        <w:tc>
          <w:tcPr>
            <w:tcW w:w="3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Madewell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buying and occupancy costs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364,729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333,642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As a percent of revenues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37.0%</w:t>
            </w:r>
          </w:p>
        </w:tc>
        <w:tc>
          <w:tcPr>
            <w:tcW w:w="2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38.3%</w:t>
            </w:r>
          </w:p>
        </w:tc>
        <w:tc>
          <w:tcPr>
            <w:tcW w:w="0" w:type="dxa"/>
            <w:vAlign w:val="bottom"/>
          </w:tcPr>
          <w:p>
            <w:pPr>
              <w:spacing w:after="0"/>
              <w:rPr>
                <w:sz w:val="1"/>
                <w:szCs w:val="1"/>
                <w:color w:val="auto"/>
              </w:rPr>
            </w:pPr>
          </w:p>
        </w:tc>
      </w:tr>
      <w:tr>
        <w:trPr>
          <w:trHeight w:val="22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As a percent of revenues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32.8%</w:t>
            </w:r>
          </w:p>
        </w:tc>
        <w:tc>
          <w:tcPr>
            <w:tcW w:w="22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37.2%</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As a percent of revenues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3.8%</w:t>
            </w:r>
          </w:p>
        </w:tc>
        <w:tc>
          <w:tcPr>
            <w:tcW w:w="22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jc w:val="center"/>
              <w:ind w:left="3651"/>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Exhibit (2)</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31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J.Crew Group, Inc.</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440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31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(unaudited)</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May 5,</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2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30,236</w:t>
            </w:r>
          </w:p>
        </w:tc>
        <w:tc>
          <w:tcPr>
            <w:tcW w:w="16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6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513,037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300,117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306,860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1,752,632</w:t>
            </w:r>
          </w:p>
        </w:tc>
        <w:tc>
          <w:tcPr>
            <w:tcW w:w="16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1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224,700</w:t>
            </w:r>
          </w:p>
        </w:tc>
        <w:tc>
          <w:tcPr>
            <w:tcW w:w="16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259,705</w:t>
            </w:r>
          </w:p>
        </w:tc>
        <w:tc>
          <w:tcPr>
            <w:tcW w:w="16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the ABL Facility</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right-of-use lease liabilities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to Parent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payable</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1,672,166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Long-term right-of-use lease liabilities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487,765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Lease-related deferred credits, net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(1,183,754)</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1,221,651</w:t>
            </w:r>
          </w:p>
        </w:tc>
        <w:tc>
          <w:tcPr>
            <w:tcW w:w="1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00" w:type="dxa"/>
            <w:vAlign w:val="bottom"/>
            <w:vMerge w:val="restart"/>
          </w:tcPr>
          <w:p>
            <w:pPr>
              <w:jc w:val="center"/>
              <w:ind w:left="67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reconciles net loss reflected on the Company’s condensed consolidated statements of operations to: (i) Adjusted EBITDA (a non-GAAP measure), (ii) cash flows from operating activities (measured in accordance with GAAP) and (iii) cash, cash equivalents and restricted cash as reflected on the condensed consolidated balance sheet (measured in accordance with GAAP).</w:t>
      </w:r>
    </w:p>
    <w:p>
      <w:pPr>
        <w:sectPr>
          <w:pgSz w:w="11900" w:h="16838" w:orient="portrait"/>
          <w:cols w:equalWidth="0" w:num="1">
            <w:col w:w="11420"/>
          </w:cols>
          <w:pgMar w:left="240" w:top="121" w:right="239" w:bottom="1440" w:gutter="0" w:footer="0" w:header="0"/>
        </w:sect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8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2018</w:t>
            </w:r>
          </w:p>
        </w:tc>
      </w:tr>
    </w:tbl>
    <w:p>
      <w:pPr>
        <w:spacing w:after="0" w:line="200" w:lineRule="exact"/>
        <w:rPr>
          <w:sz w:val="20"/>
          <w:szCs w:val="20"/>
          <w:color w:val="auto"/>
        </w:rPr>
      </w:pPr>
    </w:p>
    <w:p>
      <w:pPr>
        <w:sectPr>
          <w:pgSz w:w="11900" w:h="16838" w:orient="portrait"/>
          <w:cols w:equalWidth="0" w:num="2">
            <w:col w:w="7020" w:space="720"/>
            <w:col w:w="3680"/>
          </w:cols>
          <w:pgMar w:left="240" w:top="12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(including intangible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related to workforce reductions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fees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Transformation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lease commitments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termination payment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paid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50"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8"/>
          <w:szCs w:val="18"/>
          <w:color w:val="auto"/>
        </w:rPr>
        <w:t>Effect of changes in foreign exchange rates on cash, cash equivalents and restricted cash Decrease in cash, cash equivalents and restricted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ending</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160" w:hanging="1153"/>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3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36.9</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2.8</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0.3</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(0.2)</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(128.0)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(18.0)</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3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0" w:lineRule="exact"/>
        <w:rPr>
          <w:sz w:val="20"/>
          <w:szCs w:val="20"/>
          <w:color w:val="auto"/>
        </w:rPr>
      </w:pPr>
    </w:p>
    <w:p>
      <w:pPr>
        <w:ind w:left="1220" w:hanging="1213"/>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77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977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180" w:hanging="1170"/>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(33.9)</w:t>
      </w:r>
    </w:p>
    <w:p>
      <w:pPr>
        <w:spacing w:after="0" w:line="36"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33.0</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0.4</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3.7</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2.5</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6.9</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2.4</w:t>
      </w:r>
    </w:p>
    <w:p>
      <w:pPr>
        <w:spacing w:after="0" w:line="3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(42.1)</w:t>
      </w:r>
    </w:p>
    <w:p>
      <w:pPr>
        <w:spacing w:after="0" w:line="3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(101.0)</w:t>
      </w:r>
    </w:p>
    <w:p>
      <w:pPr>
        <w:spacing w:after="0" w:line="3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(7.2)</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(71.1)</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0" w:lineRule="exact"/>
        <w:rPr>
          <w:sz w:val="20"/>
          <w:szCs w:val="20"/>
          <w:color w:val="auto"/>
        </w:rPr>
      </w:pPr>
    </w:p>
    <w:p>
      <w:pPr>
        <w:ind w:left="1240" w:hanging="1230"/>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86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986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020" w:space="720"/>
            <w:col w:w="1600" w:space="220"/>
            <w:col w:w="1860"/>
          </w:cols>
          <w:pgMar w:left="240" w:top="121" w:right="239" w:bottom="1440" w:gutter="0" w:footer="0" w:header="0"/>
          <w:type w:val="continuous"/>
        </w:sectPr>
      </w:pPr>
    </w:p>
    <w:p>
      <w:pPr>
        <w:spacing w:after="0" w:line="6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2019-12-28T11:40:21Z</dcterms:created>
  <dcterms:modified xsi:type="dcterms:W3CDTF">2019-12-28T11:40:21Z</dcterms:modified>
</cp:coreProperties>
</file>