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426"/>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1"/>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0"/>
              </w:rPr>
              <w:t>770 Broadway</w:t>
            </w:r>
          </w:p>
        </w:tc>
      </w:tr>
      <w:tr>
        <w:trPr>
          <w:trHeight w:val="212"/>
        </w:trPr>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4"/>
              </w:rPr>
              <w:t>New York, NY 10003</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1"/>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136525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23, 2017, J.Crew Group, Inc. issued a press release announcing the Company’s financial results for the second quarter ended July 29, 2017. The Company is furnishing a copy of the press release hereto as Exhibit 99.1.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(c) 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Current Report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J.Crew Group, Inc. on August 23,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3080"/>
              <w:spacing w:after="0"/>
              <w:rPr>
                <w:sz w:val="20"/>
                <w:szCs w:val="20"/>
                <w:color w:val="auto"/>
              </w:rPr>
            </w:pPr>
            <w:r>
              <w:rPr>
                <w:rFonts w:ascii="Arial" w:cs="Arial" w:eastAsia="Arial" w:hAnsi="Arial"/>
                <w:sz w:val="18"/>
                <w:szCs w:val="18"/>
                <w:color w:val="auto"/>
              </w:rPr>
              <w:t>J.CREW GROUP,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August 23, 2017</w:t>
            </w:r>
          </w:p>
        </w:tc>
        <w:tc>
          <w:tcPr>
            <w:tcW w:w="7760" w:type="dxa"/>
            <w:vAlign w:val="bottom"/>
            <w:gridSpan w:val="2"/>
          </w:tcPr>
          <w:p>
            <w:pPr>
              <w:ind w:left="3080"/>
              <w:spacing w:after="0"/>
              <w:rPr>
                <w:sz w:val="20"/>
                <w:szCs w:val="20"/>
                <w:color w:val="auto"/>
              </w:rPr>
            </w:pPr>
            <w:r>
              <w:rPr>
                <w:rFonts w:ascii="Arial" w:cs="Arial" w:eastAsia="Arial" w:hAnsi="Arial"/>
                <w:sz w:val="18"/>
                <w:szCs w:val="18"/>
                <w:color w:val="auto"/>
              </w:rPr>
              <w:t>By:  /s/ M</w:t>
            </w:r>
            <w:r>
              <w:rPr>
                <w:rFonts w:ascii="Arial" w:cs="Arial" w:eastAsia="Arial" w:hAnsi="Arial"/>
                <w:sz w:val="13"/>
                <w:szCs w:val="13"/>
                <w:color w:val="auto"/>
              </w:rPr>
              <w:t>ICHAEL</w:t>
            </w:r>
            <w:r>
              <w:rPr>
                <w:rFonts w:ascii="Arial" w:cs="Arial" w:eastAsia="Arial" w:hAnsi="Arial"/>
                <w:sz w:val="18"/>
                <w:szCs w:val="18"/>
                <w:color w:val="auto"/>
              </w:rPr>
              <w:t xml:space="preserve"> J. N</w:t>
            </w:r>
            <w:r>
              <w:rPr>
                <w:rFonts w:ascii="Arial" w:cs="Arial" w:eastAsia="Arial" w:hAnsi="Arial"/>
                <w:sz w:val="13"/>
                <w:szCs w:val="13"/>
                <w:color w:val="auto"/>
              </w:rPr>
              <w:t>ICHOLSON</w:t>
            </w:r>
          </w:p>
        </w:tc>
      </w:tr>
      <w:tr>
        <w:trPr>
          <w:trHeight w:val="195"/>
        </w:trPr>
        <w:tc>
          <w:tcPr>
            <w:tcW w:w="36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 Nicholson</w:t>
            </w:r>
          </w:p>
        </w:tc>
      </w:tr>
      <w:tr>
        <w:trPr>
          <w:trHeight w:val="216"/>
        </w:trPr>
        <w:tc>
          <w:tcPr>
            <w:tcW w:w="3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President, Chief Operating Officer and</w:t>
            </w:r>
          </w:p>
        </w:tc>
      </w:tr>
      <w:tr>
        <w:trPr>
          <w:trHeight w:val="230"/>
        </w:trPr>
        <w:tc>
          <w:tcPr>
            <w:tcW w:w="3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660" w:type="dxa"/>
            <w:vAlign w:val="bottom"/>
          </w:tcPr>
          <w:p>
            <w:pPr>
              <w:spacing w:after="0"/>
              <w:rPr>
                <w:sz w:val="24"/>
                <w:szCs w:val="24"/>
                <w:color w:val="auto"/>
              </w:rPr>
            </w:pPr>
          </w:p>
        </w:tc>
        <w:tc>
          <w:tcPr>
            <w:tcW w:w="346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CFO &amp; Treasurer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(212) 209-8090</w:t>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Allison Malkin / Joe Teklits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(203) 682-8200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ANNOUNCES SECOND QUARTER FISCAL 2017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NEW YORK, August 23, 2017— J.Crew Group, Inc. (the “Company”) today announced financial results for the second quarter and first half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highlights:</w:t>
      </w:r>
    </w:p>
    <w:p>
      <w:pPr>
        <w:spacing w:after="0" w:line="117"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decreased 2% to $560.9 million. Comparable company sales decreased 5% following a decrease of 8% in the second quarter last year.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J.Crew sales decreased 7% to $443.1 million. J.Crew comparable sales decreased 8% following a decrease of 9% in the second quarter last year.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Madewell sales increased 19% to $93.1 million. Madewell comparable sales increased 11% following an increase of 3% in the second quarter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increased to 38.6% from 35.7% in the second quarter last year.</w:t>
      </w:r>
    </w:p>
    <w:p>
      <w:pPr>
        <w:spacing w:after="0" w:line="117"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$210.1 million, or 37.5% of revenues, compared to $196.5 million, or 34.5% of revenues in the second quarter last year. Excluding transformation costs of $14.0 million and transaction costs of $13.7 million (incurred in connection with the Company’s debt exchange and refinancing), selling, general and administrative expenses were $182.4 million, or 32.5% of revenues this year.</w:t>
      </w:r>
    </w:p>
    <w:p>
      <w:pPr>
        <w:spacing w:after="0" w:line="78" w:lineRule="exact"/>
        <w:rPr>
          <w:rFonts w:ascii="Arial" w:cs="Arial" w:eastAsia="Arial" w:hAnsi="Arial"/>
          <w:sz w:val="18"/>
          <w:szCs w:val="18"/>
          <w:color w:val="auto"/>
        </w:rPr>
      </w:pPr>
    </w:p>
    <w:p>
      <w:pPr>
        <w:ind w:left="1040" w:right="10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was $2.6 million compared to $6.7 million in the second quarter last year. The second quarter this year includes transformation costs of $14.0 million and transaction costs of $13.7 million.</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was $20.7 million compared to $8.6 million in the second quarter last year. The second quarter this year includes the impact of transformation and transaction costs.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increased $24.8 million, or 65%, to $63.1 million from $38.3 million in the second quarter last year. An explanation of the manner in which the Company uses adjusted EBITDA and a reconciliation to comparable GAAP measures are included in Exhibit (3).</w:t>
      </w:r>
    </w:p>
    <w:p>
      <w:pPr>
        <w:spacing w:after="0" w:line="8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Jim Brett, Chief Executive Officer, remarked, “Since joining J.Crew in July, I’ve come to a better understanding of how these iconic American brands can be made to play a more meaningful role in our lives. Overall, I am optimistic about the opportunities that lie ahead, particularly when reviewing the strong talent, capabilities and commitment within the organization. The team delivered solid progress on our transformation plan during the second quarter, highlighted by expansion in gross margin and reduced expenses that drove an increase in Adjusted EBITDA. And I am confident about evolving our brand strategy to drive long term profitable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First Half highlights:</w:t>
      </w:r>
    </w:p>
    <w:p>
      <w:pPr>
        <w:spacing w:after="0" w:line="117" w:lineRule="exact"/>
        <w:rPr>
          <w:sz w:val="20"/>
          <w:szCs w:val="20"/>
          <w:color w:val="auto"/>
        </w:rPr>
      </w:pPr>
    </w:p>
    <w:p>
      <w:pPr>
        <w:ind w:left="1040" w:right="3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decreased 4% to $1,092.9 million. Comparable company sales decreased 7% following a decrease of 7% in the first half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J.Crew sales decreased 9% to $871.6 million. J.Crew comparable sales decreased 10% following a decrease of 9% in the first half last year.</w:t>
      </w:r>
    </w:p>
    <w:p>
      <w:pPr>
        <w:spacing w:after="0" w:line="140" w:lineRule="exact"/>
        <w:rPr>
          <w:rFonts w:ascii="Arial" w:cs="Arial" w:eastAsia="Arial" w:hAnsi="Arial"/>
          <w:sz w:val="16"/>
          <w:szCs w:val="16"/>
          <w:color w:val="auto"/>
        </w:rPr>
      </w:pPr>
    </w:p>
    <w:p>
      <w:pPr>
        <w:ind w:left="1040" w:right="2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Madewell sales increased 18% to $177.8 million. Madewell comparable sales increased 10% following an increase of 4% in the first half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increased to 37.0% from 35.9% in the first half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left="1040" w:right="8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Selling, general and administrative expenses were $420.6 million, or 38.5% of revenues, compared to $388.8 million, or 34.2% of revenues in the first half last year. Excluding transformation costs of $19.6 million, transaction costs of $16.2 million and severance costs of $10.7 million, selling, general and administrative expenses were $374.1 million, or 34.2% of revenues this year.</w:t>
      </w:r>
    </w:p>
    <w:p>
      <w:pPr>
        <w:spacing w:after="0" w:line="57" w:lineRule="exact"/>
        <w:rPr>
          <w:rFonts w:ascii="Arial" w:cs="Arial" w:eastAsia="Arial" w:hAnsi="Arial"/>
          <w:sz w:val="17"/>
          <w:szCs w:val="17"/>
          <w:color w:val="auto"/>
        </w:rPr>
      </w:pPr>
    </w:p>
    <w:p>
      <w:pPr>
        <w:ind w:left="1040" w:right="24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loss was $150.7 million compared with operating income of $14.0 million in the first half last year. The operating loss includes (i) non-cash impairment charges of $135.1 million, (ii) transformation costs of $19.6 million, (iii) transaction costs of $16.2 million, and (iv) severance costs of $10.7 million. Operating income last year includes non-cash impairment charges of $5.4 million.</w:t>
      </w:r>
    </w:p>
    <w:p>
      <w:pPr>
        <w:spacing w:after="0" w:line="57" w:lineRule="exact"/>
        <w:rPr>
          <w:rFonts w:ascii="Arial" w:cs="Arial" w:eastAsia="Arial" w:hAnsi="Arial"/>
          <w:sz w:val="17"/>
          <w:szCs w:val="17"/>
          <w:color w:val="auto"/>
        </w:rPr>
      </w:pPr>
    </w:p>
    <w:p>
      <w:pPr>
        <w:jc w:val="both"/>
        <w:ind w:left="1040" w:right="7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was $143.9 million compared to $16.7 million in the first half last year. The net loss this year reflects the impact of non-cash impairment charges, transformation costs, transaction costs, and severance costs. The net loss last year reflects the impact of non-cash impairment charges.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increased $6.0 million, or 7%, to $89.7 million from $83.7 million in the first half last year. An explanation of the manner in which the Company uses adjusted EBITDA and a reconciliation to comparable GAAP measures are included in Exhibit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Balance Sheet highlights:</w:t>
      </w:r>
    </w:p>
    <w:p>
      <w:pPr>
        <w:spacing w:after="0" w:line="117" w:lineRule="exact"/>
        <w:rPr>
          <w:sz w:val="20"/>
          <w:szCs w:val="20"/>
          <w:color w:val="auto"/>
        </w:rPr>
      </w:pPr>
    </w:p>
    <w:p>
      <w:pPr>
        <w:ind w:left="1040" w:right="16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were $62.4 million compared to $49.2 million at the end of the second quarter last year. The cash balance at the end of the second quarter this year reflects the payment of transaction costs of $33.8 million and debt repayments pursuant to the refinancing of $27.0 million.</w:t>
      </w:r>
    </w:p>
    <w:p>
      <w:pPr>
        <w:spacing w:after="0" w:line="7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 were $299.8 million compared to $391.6 million at the end of the second quarter last year. Inventories decreased 23% and inventories per square foot decreased 24% compared to the end of the second quarter last year.</w:t>
      </w:r>
    </w:p>
    <w:p>
      <w:pPr>
        <w:spacing w:after="0" w:line="62" w:lineRule="exact"/>
        <w:rPr>
          <w:rFonts w:ascii="Arial" w:cs="Arial" w:eastAsia="Arial" w:hAnsi="Arial"/>
          <w:sz w:val="18"/>
          <w:szCs w:val="18"/>
          <w:color w:val="auto"/>
        </w:rPr>
      </w:pPr>
    </w:p>
    <w:p>
      <w:pPr>
        <w:ind w:left="1040" w:hanging="519"/>
        <w:spacing w:after="0" w:line="30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net of discount and deferred financing costs, was $1,721 million compared to $1,512 million at the end of the second quarter last year. On July 13, 2017, the Company completed a debt exchange and refinancing. For more information, see the section entitled “Debt Exchange and Refinancing” below. There were no outstanding borrowings under the ABL Facility at July 29, 2017 or July 30, 2016. As of the date of this release, there were outstanding borrowings of $10 million under the ABL Facility, with excess availability of approximately $245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Exchange and Refinancing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July 13, 2017, the Company completed the following interrelated liability management transactions:</w:t>
      </w:r>
    </w:p>
    <w:p>
      <w:pPr>
        <w:spacing w:after="0" w:line="225" w:lineRule="exact"/>
        <w:rPr>
          <w:sz w:val="20"/>
          <w:szCs w:val="20"/>
          <w:color w:val="auto"/>
        </w:rPr>
      </w:pPr>
    </w:p>
    <w:p>
      <w:pPr>
        <w:ind w:left="104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Private Exchange Offer. </w:t>
      </w:r>
      <w:r>
        <w:rPr>
          <w:rFonts w:ascii="Arial" w:cs="Arial" w:eastAsia="Arial" w:hAnsi="Arial"/>
          <w:sz w:val="18"/>
          <w:szCs w:val="18"/>
          <w:color w:val="auto"/>
        </w:rPr>
        <w:t>An exchange offer in which $565.7 million principal outstanding of 7.75%/8.50% Senior PIK Toggle Notes due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“PIK Notes”) issued by the Company’s parent were exchanged for (i) $249.6 million of 13% Senior Secured Notes due 2021 and (ii) shares of preferred and common stock of the Company’s parent.</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Term Loan Amendment. </w:t>
      </w:r>
      <w:r>
        <w:rPr>
          <w:rFonts w:ascii="Arial" w:cs="Arial" w:eastAsia="Arial" w:hAnsi="Arial"/>
          <w:sz w:val="16"/>
          <w:szCs w:val="16"/>
          <w:color w:val="auto"/>
        </w:rPr>
        <w:t>An amendment of the Company’s Term Loan Facility to, among other things, facilitate the following related transactions:</w:t>
      </w:r>
    </w:p>
    <w:p>
      <w:pPr>
        <w:spacing w:after="0" w:line="42" w:lineRule="exact"/>
        <w:rPr>
          <w:sz w:val="20"/>
          <w:szCs w:val="20"/>
          <w:color w:val="auto"/>
        </w:rPr>
      </w:pPr>
    </w:p>
    <w:p>
      <w:pPr>
        <w:ind w:left="1420" w:hanging="386"/>
        <w:spacing w:after="0"/>
        <w:tabs>
          <w:tab w:leader="none" w:pos="1420" w:val="left"/>
        </w:tabs>
        <w:numPr>
          <w:ilvl w:val="0"/>
          <w:numId w:val="9"/>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repayment of $150.5 million principal amount outstanding under the Term Loan Facility;</w:t>
      </w:r>
    </w:p>
    <w:p>
      <w:pPr>
        <w:spacing w:after="0" w:line="201" w:lineRule="exact"/>
        <w:rPr>
          <w:rFonts w:ascii="Courier New" w:cs="Courier New" w:eastAsia="Courier New" w:hAnsi="Courier New"/>
          <w:sz w:val="29"/>
          <w:szCs w:val="29"/>
          <w:color w:val="auto"/>
          <w:vertAlign w:val="superscript"/>
        </w:rPr>
      </w:pPr>
    </w:p>
    <w:p>
      <w:pPr>
        <w:ind w:left="1420" w:right="20" w:hanging="386"/>
        <w:spacing w:after="0" w:line="214" w:lineRule="auto"/>
        <w:tabs>
          <w:tab w:leader="none" w:pos="1420" w:val="left"/>
        </w:tabs>
        <w:numPr>
          <w:ilvl w:val="0"/>
          <w:numId w:val="9"/>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transfer of the remaining undivided ownership interest in the U.S. intellectual property rights of the J.Crew brand to a subsidiary of the Company which, together with the undivided ownership interest transferred in December 2016 represent 100% of the U.S. intellectual property rights of the J.Crew brand, and the execution of related license agreements;</w:t>
      </w:r>
    </w:p>
    <w:p>
      <w:pPr>
        <w:spacing w:after="0" w:line="202" w:lineRule="exact"/>
        <w:rPr>
          <w:rFonts w:ascii="Courier New" w:cs="Courier New" w:eastAsia="Courier New" w:hAnsi="Courier New"/>
          <w:sz w:val="29"/>
          <w:szCs w:val="29"/>
          <w:color w:val="auto"/>
          <w:vertAlign w:val="superscript"/>
        </w:rPr>
      </w:pPr>
    </w:p>
    <w:p>
      <w:pPr>
        <w:ind w:left="1420" w:right="120" w:hanging="386"/>
        <w:spacing w:after="0" w:line="224" w:lineRule="auto"/>
        <w:tabs>
          <w:tab w:leader="none" w:pos="1420" w:val="left"/>
        </w:tabs>
        <w:numPr>
          <w:ilvl w:val="0"/>
          <w:numId w:val="9"/>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the issuance of $97.0 million principal amount of an additional series of 13% Senior Secured Notes due 2021, subject to the same terms and conditions as the exchange notes, for cash at a 3% discount, the proceeds of which were loaned to the Company and were applied, in part, to finance the repayment of the $150.5 million principal amount of term loans referenced above; and</w:t>
      </w:r>
    </w:p>
    <w:p>
      <w:pPr>
        <w:spacing w:after="0" w:line="203" w:lineRule="exact"/>
        <w:rPr>
          <w:rFonts w:ascii="Courier New" w:cs="Courier New" w:eastAsia="Courier New" w:hAnsi="Courier New"/>
          <w:sz w:val="28"/>
          <w:szCs w:val="28"/>
          <w:color w:val="auto"/>
          <w:vertAlign w:val="superscript"/>
        </w:rPr>
      </w:pPr>
    </w:p>
    <w:p>
      <w:pPr>
        <w:ind w:left="1420" w:right="60" w:hanging="386"/>
        <w:spacing w:after="0" w:line="214" w:lineRule="auto"/>
        <w:tabs>
          <w:tab w:leader="none" w:pos="1420" w:val="left"/>
        </w:tabs>
        <w:numPr>
          <w:ilvl w:val="0"/>
          <w:numId w:val="9"/>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raising of additional borrowings under the Term Loan Facility of $30.0 million, for cash at a 2% discount, provided by the Company’s sponsors, the net proceeds of which were also applied, in part, to finance the repayment of the $150.5 million principal amount of term loans referenced above.</w:t>
      </w:r>
    </w:p>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For more information on the Private Exchange Offer and Term Loan Amendment, see the Company’s Form 10-Q for the quarterly period ended July 29,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First Quarter Impairment</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During the first quarter of fiscal 2017, the Company recorded a non-cash impairment charge of $129.8 million related to the intangible asset for the J.Crew trade name. After recording the impairment charge in the first quarter, the carrying value of the J.Crew trade name was $250.2 million. If revenues or operating results decline below the Company’s current expectations, additional impairment charges may be recorded in the future.</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This impairment charge does not have an effect on the Company’s operations, liquidity or financial covenants, and does not change management’s long-term strategy, which includes its plans to drive disciplined growth across its brands.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On November 4, 2013, an indirect parent holding company of the Company (the “PIK Notes Issuer”) issued $500 million of PIK Notes. On July 13, 2017, the Company completed a private exchange offer pursuant to which $565.7 million principal amount of such PIK Notes were exchanged for $249.6 million of exchange notes and shares of preferred and common stock of the Parent.</w:t>
      </w:r>
    </w:p>
    <w:p>
      <w:pPr>
        <w:spacing w:after="0" w:line="181"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The PIK Notes were not guaranteed by any of the PIK Notes Issuer’s subsidiaries, and therefore were not recorded in the Company’s financial statements. The exchange notes, however, are guaranteed by the Company’s subsidiaries, and therefore are recorded in the Company’s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 conference call to discuss second quarter results is scheduled for today, August 23, 2017, at 4:30 PM Eastern Time. Investors and analysts interested in listening to the call are invited to dial (877) 407-3982 approximately ten minutes prior to the start of the call. The conference call will also be simultaneously webcast at www.jcrew.com. A replay of this call will be available until August 30, 2017 and can be accessed by dialing (844) 512-2921 and entering conference ID number 13668967.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J.Crew Group, Inc. is an internationally recognized omni-channel retailer of women’s, men’s and children’s apparel, shoes and accessories. As of August 23, 2017, the Company operates 274 J.Crew retail stores, 119 Madewell stores, jcrew.com, jcrewfactory.com, the J.Crew catalog, madewell.com, and 182 factory stores (including 42 J.Crew Mercantile stores). Certain product, press release and SEC filing information concerning the Company are available at the Company’s website www.jcrew.com.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Certain statements herein, including projected store count and square footage in Exhibit (4) hereof,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substantial indebtedness, its substantial lease obligations, its ability to anticipate and timely respond to changes in trends and consumer preferences, the strength of the global economy, declines in consumer spending or changes in seasonal consumer spending patterns,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its ability to implement its real estate strategy, adverse or unseasonable weather, interruptions in its foreign sourcing operations,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5"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percentages)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J.Crew</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Madewell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36" w:lineRule="exact"/>
        <w:rPr>
          <w:sz w:val="20"/>
          <w:szCs w:val="20"/>
          <w:color w:val="auto"/>
        </w:rPr>
      </w:pPr>
    </w:p>
    <w:p>
      <w:pPr>
        <w:ind w:right="780"/>
        <w:spacing w:after="0" w:line="289" w:lineRule="auto"/>
        <w:rPr>
          <w:sz w:val="20"/>
          <w:szCs w:val="20"/>
          <w:color w:val="auto"/>
        </w:rPr>
      </w:pPr>
      <w:r>
        <w:rPr>
          <w:rFonts w:ascii="Arial" w:cs="Arial" w:eastAsia="Arial" w:hAnsi="Arial"/>
          <w:sz w:val="18"/>
          <w:szCs w:val="18"/>
          <w:color w:val="auto"/>
        </w:rPr>
        <w:t>Cost of goods sold, including buying and occupancy costs Gross profit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ind w:left="260" w:right="1760" w:hanging="246"/>
        <w:spacing w:after="0" w:line="281" w:lineRule="auto"/>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8"/>
          <w:szCs w:val="18"/>
          <w:i w:val="1"/>
          <w:iCs w:val="1"/>
          <w:color w:val="auto"/>
        </w:rPr>
        <w:t>As a percent of revenues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Second Quarter</w:t>
            </w:r>
          </w:p>
        </w:tc>
        <w:tc>
          <w:tcPr>
            <w:tcW w:w="80" w:type="dxa"/>
            <w:vAlign w:val="bottom"/>
          </w:tcPr>
          <w:p>
            <w:pPr>
              <w:spacing w:after="0"/>
              <w:rPr>
                <w:sz w:val="14"/>
                <w:szCs w:val="14"/>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Second 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First Half</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First Half</w:t>
            </w:r>
          </w:p>
        </w:tc>
      </w:tr>
      <w:tr>
        <w:trPr>
          <w:trHeight w:val="171"/>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Fiscal 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Fiscal 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Fiscal 2017</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Fiscal 2016</w:t>
            </w:r>
          </w:p>
        </w:tc>
        <w:tc>
          <w:tcPr>
            <w:tcW w:w="160" w:type="dxa"/>
            <w:vAlign w:val="bottom"/>
          </w:tcPr>
          <w:p>
            <w:pPr>
              <w:spacing w:after="0"/>
              <w:rPr>
                <w:sz w:val="14"/>
                <w:szCs w:val="14"/>
                <w:color w:val="auto"/>
              </w:rPr>
            </w:pPr>
          </w:p>
        </w:tc>
      </w:tr>
      <w:tr>
        <w:trPr>
          <w:trHeight w:val="48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443,113</w:t>
            </w:r>
          </w:p>
        </w:tc>
        <w:tc>
          <w:tcPr>
            <w:tcW w:w="240" w:type="dxa"/>
            <w:vAlign w:val="bottom"/>
          </w:tcPr>
          <w:p>
            <w:pPr>
              <w:spacing w:after="0"/>
              <w:rPr>
                <w:sz w:val="24"/>
                <w:szCs w:val="24"/>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476,726</w:t>
            </w:r>
          </w:p>
        </w:tc>
        <w:tc>
          <w:tcPr>
            <w:tcW w:w="22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871,612</w:t>
            </w:r>
          </w:p>
        </w:tc>
        <w:tc>
          <w:tcPr>
            <w:tcW w:w="36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957,480</w:t>
            </w:r>
          </w:p>
        </w:tc>
        <w:tc>
          <w:tcPr>
            <w:tcW w:w="160" w:type="dxa"/>
            <w:vAlign w:val="bottom"/>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93,067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78,272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177,747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150,736</w:t>
            </w:r>
          </w:p>
        </w:tc>
        <w:tc>
          <w:tcPr>
            <w:tcW w:w="160" w:type="dxa"/>
            <w:vAlign w:val="bottom"/>
          </w:tcPr>
          <w:p>
            <w:pPr>
              <w:spacing w:after="0"/>
              <w:rPr>
                <w:sz w:val="21"/>
                <w:szCs w:val="2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43,513</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29,103</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560,906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569,820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1,092,872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1,137,319</w:t>
            </w:r>
          </w:p>
        </w:tc>
        <w:tc>
          <w:tcPr>
            <w:tcW w:w="160" w:type="dxa"/>
            <w:vAlign w:val="bottom"/>
          </w:tcPr>
          <w:p>
            <w:pPr>
              <w:spacing w:after="0"/>
              <w:rPr>
                <w:sz w:val="20"/>
                <w:szCs w:val="20"/>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344,274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688,004</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729,167</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216,632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203,199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404,868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408,152</w:t>
            </w:r>
          </w:p>
        </w:tc>
        <w:tc>
          <w:tcPr>
            <w:tcW w:w="1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37.0%</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35.9%</w:t>
            </w:r>
          </w:p>
        </w:tc>
      </w:tr>
      <w:tr>
        <w:trPr>
          <w:trHeight w:val="243"/>
        </w:trPr>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210,136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196,522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420,558</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388,756</w:t>
            </w:r>
          </w:p>
        </w:tc>
        <w:tc>
          <w:tcPr>
            <w:tcW w:w="1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38.5%</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34.2%</w:t>
            </w: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135,055</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(150,745)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(13.8)%</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1.2%</w:t>
            </w: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43,254</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38,836</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(20,220)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(13,944)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(193,999)</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(24,836)</w:t>
            </w:r>
          </w:p>
        </w:tc>
      </w:tr>
      <w:tr>
        <w:trPr>
          <w:trHeight w:val="243"/>
        </w:trPr>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(50,050)</w:t>
            </w: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(8,168)</w:t>
            </w:r>
          </w:p>
        </w:tc>
      </w:tr>
      <w:tr>
        <w:trPr>
          <w:trHeight w:val="20"/>
        </w:trPr>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(20,654)</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(8,627)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(143,949)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(16,668)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Exhibit (2)</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334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4"/>
              </w:rPr>
              <w:t>J.Crew Group, Inc.</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4"/>
                <w:szCs w:val="24"/>
                <w:color w:val="auto"/>
              </w:rPr>
            </w:pPr>
          </w:p>
        </w:tc>
        <w:tc>
          <w:tcPr>
            <w:tcW w:w="458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4"/>
                <w:szCs w:val="24"/>
                <w:color w:val="auto"/>
              </w:rPr>
            </w:pPr>
          </w:p>
        </w:tc>
        <w:tc>
          <w:tcPr>
            <w:tcW w:w="334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(unaudited)</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July 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Current assets:</w:t>
            </w: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62,426</w:t>
            </w:r>
          </w:p>
        </w:tc>
        <w:tc>
          <w:tcPr>
            <w:tcW w:w="160" w:type="dxa"/>
            <w:vAlign w:val="bottom"/>
          </w:tcPr>
          <w:p>
            <w:pPr>
              <w:spacing w:after="0"/>
              <w:rPr>
                <w:sz w:val="22"/>
                <w:szCs w:val="22"/>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132,226</w:t>
            </w:r>
          </w:p>
        </w:tc>
        <w:tc>
          <w:tcPr>
            <w:tcW w:w="26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299,796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314,492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391,642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ind w:left="260"/>
              <w:spacing w:after="0"/>
              <w:rPr>
                <w:sz w:val="20"/>
                <w:szCs w:val="20"/>
                <w:color w:val="auto"/>
              </w:rPr>
            </w:pPr>
            <w:r>
              <w:rPr>
                <w:rFonts w:ascii="Arial" w:cs="Arial" w:eastAsia="Arial" w:hAnsi="Arial"/>
                <w:sz w:val="18"/>
                <w:szCs w:val="18"/>
                <w:color w:val="auto"/>
                <w:w w:val="99"/>
              </w:rPr>
              <w:t>Prepaid expenses and other current assets</w:t>
            </w:r>
          </w:p>
        </w:tc>
        <w:tc>
          <w:tcPr>
            <w:tcW w:w="3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Total current assets</w:t>
            </w: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425,995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506,212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330,006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362,187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313,161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450,204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Goodwill</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107,900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0"/>
                <w:szCs w:val="20"/>
                <w:color w:val="auto"/>
              </w:rPr>
            </w:pPr>
            <w:r>
              <w:rPr>
                <w:rFonts w:ascii="Arial" w:cs="Arial" w:eastAsia="Arial" w:hAnsi="Arial"/>
                <w:sz w:val="18"/>
                <w:szCs w:val="18"/>
                <w:color w:val="auto"/>
              </w:rPr>
              <w:t>Other assets</w:t>
            </w:r>
          </w:p>
        </w:tc>
        <w:tc>
          <w:tcPr>
            <w:tcW w:w="3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3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1,184,383</w:t>
            </w:r>
          </w:p>
        </w:tc>
        <w:tc>
          <w:tcPr>
            <w:tcW w:w="16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1,432,710</w:t>
            </w:r>
          </w:p>
        </w:tc>
        <w:tc>
          <w:tcPr>
            <w:tcW w:w="2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1,455,815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0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Current liabilities:</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188,297</w:t>
            </w:r>
          </w:p>
        </w:tc>
        <w:tc>
          <w:tcPr>
            <w:tcW w:w="160" w:type="dxa"/>
            <w:vAlign w:val="bottom"/>
          </w:tcPr>
          <w:p>
            <w:pPr>
              <w:spacing w:after="0"/>
              <w:rPr>
                <w:sz w:val="22"/>
                <w:szCs w:val="22"/>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194,494</w:t>
            </w:r>
          </w:p>
        </w:tc>
        <w:tc>
          <w:tcPr>
            <w:tcW w:w="26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251,163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157,141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60"/>
              <w:spacing w:after="0"/>
              <w:rPr>
                <w:sz w:val="20"/>
                <w:szCs w:val="20"/>
                <w:color w:val="auto"/>
              </w:rPr>
            </w:pPr>
            <w:r>
              <w:rPr>
                <w:rFonts w:ascii="Arial" w:cs="Arial" w:eastAsia="Arial" w:hAnsi="Arial"/>
                <w:sz w:val="18"/>
                <w:szCs w:val="18"/>
                <w:color w:val="auto"/>
              </w:rPr>
              <w:t>Income taxes payable to Parent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25,215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390,307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400,497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Long-term debt, net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1,701,887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1,494,490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1,496,244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132,566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Other liabilities</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43,168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0"/>
                <w:szCs w:val="20"/>
                <w:color w:val="auto"/>
              </w:rPr>
            </w:pPr>
            <w:r>
              <w:rPr>
                <w:rFonts w:ascii="Arial" w:cs="Arial" w:eastAsia="Arial" w:hAnsi="Arial"/>
                <w:sz w:val="18"/>
                <w:szCs w:val="18"/>
                <w:color w:val="auto"/>
              </w:rPr>
              <w:t>Stockholders’ deficit</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(1,175,151)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(786,211)</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(786,086)</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30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1,184,383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1,432,710</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following table reconciles net loss reflected on the Company’s condensed consolidated statements of operations to: (i) Adjusted EBITDA (a non-GAAP measure), (ii) cash flows from operating activities (measured in accordance with GAAP) and (iii) cash and cash equivalents as reflected on the condensed consolidated balance sheet (measured in accordance with GAAP).</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(including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Charges related to a workforce reduction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Monitoring fees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lease commitments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Taxes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working capital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Effect of changes in foreign exchange rates on cash and cash equivalents Decrease in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Second Quarter</w:t>
            </w: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Second Quarter</w:t>
            </w:r>
          </w:p>
        </w:tc>
        <w:tc>
          <w:tcPr>
            <w:tcW w:w="1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First Half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 Half</w:t>
            </w:r>
          </w:p>
        </w:tc>
      </w:tr>
      <w:tr>
        <w:trPr>
          <w:trHeight w:val="171"/>
        </w:trPr>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Fiscal 2016</w:t>
            </w:r>
          </w:p>
        </w:tc>
        <w:tc>
          <w:tcPr>
            <w:tcW w:w="60" w:type="dxa"/>
            <w:vAlign w:val="bottom"/>
          </w:tcPr>
          <w:p>
            <w:pPr>
              <w:spacing w:after="0"/>
              <w:rPr>
                <w:sz w:val="14"/>
                <w:szCs w:val="14"/>
                <w:color w:val="auto"/>
              </w:rPr>
            </w:pPr>
          </w:p>
        </w:tc>
      </w:tr>
      <w:tr>
        <w:trPr>
          <w:trHeight w:val="224"/>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42"/>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21"/>
                <w:szCs w:val="2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60" w:type="dxa"/>
            <w:vAlign w:val="bottom"/>
          </w:tcPr>
          <w:p>
            <w:pPr>
              <w:spacing w:after="0"/>
              <w:rPr>
                <w:sz w:val="20"/>
                <w:szCs w:val="20"/>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r>
      <w:tr>
        <w:trPr>
          <w:trHeight w:val="237"/>
        </w:trPr>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20"/>
                <w:szCs w:val="20"/>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21"/>
                <w:szCs w:val="21"/>
                <w:color w:val="auto"/>
              </w:rPr>
            </w:pP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20"/>
                <w:szCs w:val="20"/>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240"/>
              <w:spacing w:after="0"/>
              <w:rPr>
                <w:sz w:val="20"/>
                <w:szCs w:val="20"/>
                <w:color w:val="auto"/>
              </w:rPr>
            </w:pPr>
            <w:r>
              <w:rPr>
                <w:rFonts w:ascii="Arial" w:cs="Arial" w:eastAsia="Arial" w:hAnsi="Arial"/>
                <w:sz w:val="18"/>
                <w:szCs w:val="18"/>
                <w:color w:val="auto"/>
                <w:w w:val="93"/>
              </w:rPr>
              <w:t>Exhibit (4)</w:t>
            </w:r>
          </w:p>
        </w:tc>
        <w:tc>
          <w:tcPr>
            <w:tcW w:w="0" w:type="dxa"/>
            <w:vAlign w:val="bottom"/>
          </w:tcPr>
          <w:p>
            <w:pPr>
              <w:spacing w:after="0"/>
              <w:rPr>
                <w:sz w:val="1"/>
                <w:szCs w:val="1"/>
                <w:color w:val="auto"/>
              </w:rPr>
            </w:pPr>
          </w:p>
        </w:tc>
      </w:tr>
      <w:tr>
        <w:trPr>
          <w:trHeight w:val="648"/>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7"/>
          </w:tcPr>
          <w:p>
            <w:pPr>
              <w:jc w:val="center"/>
              <w:ind w:right="940"/>
              <w:spacing w:after="0"/>
              <w:rPr>
                <w:sz w:val="20"/>
                <w:szCs w:val="20"/>
                <w:color w:val="auto"/>
              </w:rPr>
            </w:pPr>
            <w:r>
              <w:rPr>
                <w:rFonts w:ascii="Arial" w:cs="Arial" w:eastAsia="Arial" w:hAnsi="Arial"/>
                <w:sz w:val="18"/>
                <w:szCs w:val="18"/>
                <w:b w:val="1"/>
                <w:bCs w:val="1"/>
                <w:color w:val="auto"/>
                <w:w w:val="89"/>
              </w:rPr>
              <w:t>Actual and Projected Store Count and Square Footage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304"/>
              <w:spacing w:after="0"/>
              <w:rPr>
                <w:sz w:val="20"/>
                <w:szCs w:val="20"/>
                <w:color w:val="auto"/>
              </w:rPr>
            </w:pPr>
            <w:r>
              <w:rPr>
                <w:rFonts w:ascii="Arial" w:cs="Arial" w:eastAsia="Arial" w:hAnsi="Arial"/>
                <w:sz w:val="18"/>
                <w:szCs w:val="18"/>
                <w:color w:val="auto"/>
                <w:w w:val="90"/>
              </w:rPr>
              <w:t>(unaudited)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2017</w:t>
            </w:r>
          </w:p>
        </w:tc>
        <w:tc>
          <w:tcPr>
            <w:tcW w:w="1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Total stores open at</w:t>
            </w:r>
          </w:p>
        </w:tc>
        <w:tc>
          <w:tcPr>
            <w:tcW w:w="1600" w:type="dxa"/>
            <w:vAlign w:val="bottom"/>
          </w:tcPr>
          <w:p>
            <w:pPr>
              <w:jc w:val="center"/>
              <w:ind w:left="224"/>
              <w:spacing w:after="0" w:line="133" w:lineRule="exact"/>
              <w:rPr>
                <w:sz w:val="20"/>
                <w:szCs w:val="20"/>
                <w:color w:val="auto"/>
              </w:rPr>
            </w:pPr>
            <w:r>
              <w:rPr>
                <w:rFonts w:ascii="Arial" w:cs="Arial" w:eastAsia="Arial" w:hAnsi="Arial"/>
                <w:sz w:val="14"/>
                <w:szCs w:val="14"/>
                <w:b w:val="1"/>
                <w:bCs w:val="1"/>
                <w:color w:val="auto"/>
                <w:w w:val="91"/>
              </w:rPr>
              <w:t>Number of stores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Number of stores</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Total stores open at end</w:t>
            </w:r>
          </w:p>
        </w:tc>
        <w:tc>
          <w:tcPr>
            <w:tcW w:w="0" w:type="dxa"/>
            <w:vAlign w:val="bottom"/>
          </w:tcPr>
          <w:p>
            <w:pPr>
              <w:spacing w:after="0"/>
              <w:rPr>
                <w:sz w:val="1"/>
                <w:szCs w:val="1"/>
                <w:color w:val="auto"/>
              </w:rPr>
            </w:pPr>
          </w:p>
        </w:tc>
      </w:tr>
      <w:tr>
        <w:trPr>
          <w:trHeight w:val="149"/>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beginning of the</w:t>
            </w:r>
          </w:p>
        </w:tc>
        <w:tc>
          <w:tcPr>
            <w:tcW w:w="160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1"/>
              </w:rPr>
              <w:t>opened during the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closed during the</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240" w:type="dxa"/>
            <w:vAlign w:val="bottom"/>
          </w:tcPr>
          <w:p>
            <w:pPr>
              <w:spacing w:after="0"/>
              <w:rPr>
                <w:sz w:val="14"/>
                <w:szCs w:val="14"/>
                <w:color w:val="auto"/>
              </w:rPr>
            </w:pPr>
          </w:p>
        </w:tc>
        <w:tc>
          <w:tcPr>
            <w:tcW w:w="160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96"/>
              </w:rPr>
              <w:t>period(1)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period(1)</w:t>
            </w:r>
          </w:p>
        </w:tc>
        <w:tc>
          <w:tcPr>
            <w:tcW w:w="2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the period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color w:val="auto"/>
        </w:rPr>
        <w:t>First Quarter(3)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 Quarter(2)(3)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Balance of Year(4)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20" w:type="dxa"/>
        <w:tblCellMar>
          <w:top w:w="0" w:type="dxa"/>
          <w:left w:w="0" w:type="dxa"/>
          <w:bottom w:w="0" w:type="dxa"/>
          <w:right w:w="0" w:type="dxa"/>
        </w:tblCellMar>
      </w:tblPr>
      <w:tr>
        <w:trPr>
          <w:trHeight w:val="230"/>
        </w:trPr>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575</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88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42"/>
        </w:trPr>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573</w:t>
            </w: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880" w:type="dxa"/>
            <w:vAlign w:val="bottom"/>
            <w:gridSpan w:val="2"/>
          </w:tcPr>
          <w:p>
            <w:pPr>
              <w:jc w:val="right"/>
              <w:ind w:right="900"/>
              <w:spacing w:after="0"/>
              <w:rPr>
                <w:sz w:val="20"/>
                <w:szCs w:val="20"/>
                <w:color w:val="auto"/>
              </w:rPr>
            </w:pPr>
            <w:r>
              <w:rPr>
                <w:rFonts w:ascii="Arial" w:cs="Arial" w:eastAsia="Arial" w:hAnsi="Arial"/>
                <w:sz w:val="18"/>
                <w:szCs w:val="18"/>
                <w:color w:val="auto"/>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575</w:t>
            </w: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880" w:type="dxa"/>
            <w:vAlign w:val="bottom"/>
            <w:gridSpan w:val="2"/>
          </w:tcPr>
          <w:p>
            <w:pPr>
              <w:jc w:val="right"/>
              <w:ind w:right="900"/>
              <w:spacing w:after="0"/>
              <w:rPr>
                <w:sz w:val="20"/>
                <w:szCs w:val="20"/>
                <w:color w:val="auto"/>
              </w:rPr>
            </w:pPr>
            <w:r>
              <w:rPr>
                <w:rFonts w:ascii="Arial" w:cs="Arial" w:eastAsia="Arial" w:hAnsi="Arial"/>
                <w:sz w:val="18"/>
                <w:szCs w:val="18"/>
                <w:color w:val="auto"/>
              </w:rPr>
              <w:t>(23)</w:t>
            </w:r>
          </w:p>
        </w:tc>
        <w:tc>
          <w:tcPr>
            <w:tcW w:w="118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0"/>
        </w:trPr>
        <w:tc>
          <w:tcPr>
            <w:tcW w:w="5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575</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2880" w:type="dxa"/>
            <w:vAlign w:val="bottom"/>
            <w:gridSpan w:val="2"/>
          </w:tcPr>
          <w:p>
            <w:pPr>
              <w:jc w:val="right"/>
              <w:ind w:right="900"/>
              <w:spacing w:after="0"/>
              <w:rPr>
                <w:sz w:val="20"/>
                <w:szCs w:val="20"/>
                <w:color w:val="auto"/>
              </w:rPr>
            </w:pPr>
            <w:r>
              <w:rPr>
                <w:rFonts w:ascii="Arial" w:cs="Arial" w:eastAsia="Arial" w:hAnsi="Arial"/>
                <w:sz w:val="18"/>
                <w:szCs w:val="18"/>
                <w:color w:val="auto"/>
              </w:rPr>
              <w:t>(30)</w:t>
            </w:r>
          </w:p>
        </w:tc>
        <w:tc>
          <w:tcPr>
            <w:tcW w:w="118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0"/>
        </w:trPr>
        <w:tc>
          <w:tcPr>
            <w:tcW w:w="5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Fiscal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1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 gross square feet</w:t>
            </w:r>
          </w:p>
        </w:tc>
        <w:tc>
          <w:tcPr>
            <w:tcW w:w="21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square feet</w:t>
            </w:r>
          </w:p>
        </w:tc>
        <w:tc>
          <w:tcPr>
            <w:tcW w:w="21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Reduction of gross</w:t>
            </w: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square feet for stores</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 gross square feet</w:t>
            </w:r>
          </w:p>
        </w:tc>
        <w:tc>
          <w:tcPr>
            <w:tcW w:w="0" w:type="dxa"/>
            <w:vAlign w:val="bottom"/>
          </w:tcPr>
          <w:p>
            <w:pPr>
              <w:spacing w:after="0"/>
              <w:rPr>
                <w:sz w:val="1"/>
                <w:szCs w:val="1"/>
                <w:color w:val="auto"/>
              </w:rPr>
            </w:pPr>
          </w:p>
        </w:tc>
      </w:tr>
      <w:tr>
        <w:trPr>
          <w:trHeight w:val="149"/>
        </w:trPr>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at beginning of the</w:t>
            </w: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for stores opened or</w:t>
            </w:r>
          </w:p>
        </w:tc>
        <w:tc>
          <w:tcPr>
            <w:tcW w:w="2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closed or downsized</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2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expanded during the period</w:t>
            </w:r>
          </w:p>
        </w:tc>
        <w:tc>
          <w:tcPr>
            <w:tcW w:w="22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during the period</w:t>
            </w:r>
          </w:p>
        </w:tc>
        <w:tc>
          <w:tcPr>
            <w:tcW w:w="2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end of the period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240" w:space="720"/>
            <w:col w:w="8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Quarter(3)</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3,165,295</w:t>
            </w:r>
          </w:p>
        </w:tc>
        <w:tc>
          <w:tcPr>
            <w:tcW w:w="1920" w:type="dxa"/>
            <w:vAlign w:val="bottom"/>
          </w:tcPr>
          <w:p>
            <w:pPr>
              <w:jc w:val="right"/>
              <w:spacing w:after="0"/>
              <w:rPr>
                <w:sz w:val="20"/>
                <w:szCs w:val="20"/>
                <w:color w:val="auto"/>
              </w:rPr>
            </w:pPr>
            <w:r>
              <w:rPr>
                <w:rFonts w:ascii="Arial" w:cs="Arial" w:eastAsia="Arial" w:hAnsi="Arial"/>
                <w:sz w:val="18"/>
                <w:szCs w:val="18"/>
                <w:color w:val="auto"/>
              </w:rPr>
              <w:t>8,934</w:t>
            </w:r>
          </w:p>
        </w:tc>
        <w:tc>
          <w:tcPr>
            <w:tcW w:w="220" w:type="dxa"/>
            <w:vAlign w:val="bottom"/>
          </w:tcPr>
          <w:p>
            <w:pPr>
              <w:spacing w:after="0"/>
              <w:rPr>
                <w:sz w:val="18"/>
                <w:szCs w:val="18"/>
                <w:color w:val="auto"/>
              </w:rPr>
            </w:pPr>
          </w:p>
        </w:tc>
        <w:tc>
          <w:tcPr>
            <w:tcW w:w="2660" w:type="dxa"/>
            <w:vAlign w:val="bottom"/>
            <w:gridSpan w:val="2"/>
          </w:tcPr>
          <w:p>
            <w:pPr>
              <w:jc w:val="right"/>
              <w:ind w:right="680"/>
              <w:spacing w:after="0"/>
              <w:rPr>
                <w:sz w:val="20"/>
                <w:szCs w:val="20"/>
                <w:color w:val="auto"/>
              </w:rPr>
            </w:pPr>
            <w:r>
              <w:rPr>
                <w:rFonts w:ascii="Arial" w:cs="Arial" w:eastAsia="Arial" w:hAnsi="Arial"/>
                <w:sz w:val="18"/>
                <w:szCs w:val="18"/>
                <w:color w:val="auto"/>
              </w:rPr>
              <w:t>(25,730)</w:t>
            </w:r>
          </w:p>
        </w:tc>
        <w:tc>
          <w:tcPr>
            <w:tcW w:w="1400" w:type="dxa"/>
            <w:vAlign w:val="bottom"/>
          </w:tcPr>
          <w:p>
            <w:pPr>
              <w:jc w:val="right"/>
              <w:spacing w:after="0"/>
              <w:rPr>
                <w:sz w:val="20"/>
                <w:szCs w:val="20"/>
                <w:color w:val="auto"/>
              </w:rPr>
            </w:pPr>
            <w:r>
              <w:rPr>
                <w:rFonts w:ascii="Arial" w:cs="Arial" w:eastAsia="Arial" w:hAnsi="Arial"/>
                <w:sz w:val="18"/>
                <w:szCs w:val="18"/>
                <w:color w:val="auto"/>
              </w:rPr>
              <w:t>3,148,499</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Second Quarter(3)</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3,148,499</w:t>
            </w:r>
          </w:p>
        </w:tc>
        <w:tc>
          <w:tcPr>
            <w:tcW w:w="1920" w:type="dxa"/>
            <w:vAlign w:val="bottom"/>
          </w:tcPr>
          <w:p>
            <w:pPr>
              <w:jc w:val="right"/>
              <w:spacing w:after="0"/>
              <w:rPr>
                <w:sz w:val="20"/>
                <w:szCs w:val="20"/>
                <w:color w:val="auto"/>
              </w:rPr>
            </w:pPr>
            <w:r>
              <w:rPr>
                <w:rFonts w:ascii="Arial" w:cs="Arial" w:eastAsia="Arial" w:hAnsi="Arial"/>
                <w:sz w:val="18"/>
                <w:szCs w:val="18"/>
                <w:color w:val="auto"/>
              </w:rPr>
              <w:t>16,027</w:t>
            </w:r>
          </w:p>
        </w:tc>
        <w:tc>
          <w:tcPr>
            <w:tcW w:w="220" w:type="dxa"/>
            <w:vAlign w:val="bottom"/>
          </w:tcPr>
          <w:p>
            <w:pPr>
              <w:spacing w:after="0"/>
              <w:rPr>
                <w:sz w:val="21"/>
                <w:szCs w:val="21"/>
                <w:color w:val="auto"/>
              </w:rPr>
            </w:pPr>
          </w:p>
        </w:tc>
        <w:tc>
          <w:tcPr>
            <w:tcW w:w="2660" w:type="dxa"/>
            <w:vAlign w:val="bottom"/>
            <w:gridSpan w:val="2"/>
          </w:tcPr>
          <w:p>
            <w:pPr>
              <w:jc w:val="right"/>
              <w:ind w:right="680"/>
              <w:spacing w:after="0"/>
              <w:rPr>
                <w:sz w:val="20"/>
                <w:szCs w:val="20"/>
                <w:color w:val="auto"/>
              </w:rPr>
            </w:pPr>
            <w:r>
              <w:rPr>
                <w:rFonts w:ascii="Arial" w:cs="Arial" w:eastAsia="Arial" w:hAnsi="Arial"/>
                <w:sz w:val="18"/>
                <w:szCs w:val="18"/>
                <w:color w:val="auto"/>
              </w:rPr>
              <w:t>(7,528)</w:t>
            </w:r>
          </w:p>
        </w:tc>
        <w:tc>
          <w:tcPr>
            <w:tcW w:w="1400" w:type="dxa"/>
            <w:vAlign w:val="bottom"/>
          </w:tcPr>
          <w:p>
            <w:pPr>
              <w:jc w:val="right"/>
              <w:spacing w:after="0"/>
              <w:rPr>
                <w:sz w:val="20"/>
                <w:szCs w:val="20"/>
                <w:color w:val="auto"/>
              </w:rPr>
            </w:pPr>
            <w:r>
              <w:rPr>
                <w:rFonts w:ascii="Arial" w:cs="Arial" w:eastAsia="Arial" w:hAnsi="Arial"/>
                <w:sz w:val="18"/>
                <w:szCs w:val="18"/>
                <w:color w:val="auto"/>
              </w:rPr>
              <w:t>3,156,998</w:t>
            </w:r>
          </w:p>
        </w:tc>
        <w:tc>
          <w:tcPr>
            <w:tcW w:w="0" w:type="dxa"/>
            <w:vAlign w:val="bottom"/>
          </w:tcPr>
          <w:p>
            <w:pPr>
              <w:spacing w:after="0"/>
              <w:rPr>
                <w:sz w:val="1"/>
                <w:szCs w:val="1"/>
                <w:color w:val="auto"/>
              </w:rPr>
            </w:pPr>
          </w:p>
        </w:tc>
      </w:tr>
      <w:tr>
        <w:trPr>
          <w:trHeight w:val="244"/>
        </w:trPr>
        <w:tc>
          <w:tcPr>
            <w:tcW w:w="2840" w:type="dxa"/>
            <w:vAlign w:val="bottom"/>
          </w:tcPr>
          <w:p>
            <w:pPr>
              <w:spacing w:after="0"/>
              <w:rPr>
                <w:sz w:val="20"/>
                <w:szCs w:val="20"/>
                <w:color w:val="auto"/>
              </w:rPr>
            </w:pPr>
            <w:r>
              <w:rPr>
                <w:rFonts w:ascii="Arial" w:cs="Arial" w:eastAsia="Arial" w:hAnsi="Arial"/>
                <w:sz w:val="18"/>
                <w:szCs w:val="18"/>
                <w:color w:val="auto"/>
              </w:rPr>
              <w:t>Balance of Year(4)</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3,156,998</w:t>
            </w:r>
          </w:p>
        </w:tc>
        <w:tc>
          <w:tcPr>
            <w:tcW w:w="1920" w:type="dxa"/>
            <w:vAlign w:val="bottom"/>
          </w:tcPr>
          <w:p>
            <w:pPr>
              <w:jc w:val="right"/>
              <w:spacing w:after="0"/>
              <w:rPr>
                <w:sz w:val="20"/>
                <w:szCs w:val="20"/>
                <w:color w:val="auto"/>
              </w:rPr>
            </w:pPr>
            <w:r>
              <w:rPr>
                <w:rFonts w:ascii="Arial" w:cs="Arial" w:eastAsia="Arial" w:hAnsi="Arial"/>
                <w:sz w:val="18"/>
                <w:szCs w:val="18"/>
                <w:color w:val="auto"/>
              </w:rPr>
              <w:t>14,921</w:t>
            </w:r>
          </w:p>
        </w:tc>
        <w:tc>
          <w:tcPr>
            <w:tcW w:w="220" w:type="dxa"/>
            <w:vAlign w:val="bottom"/>
          </w:tcPr>
          <w:p>
            <w:pPr>
              <w:spacing w:after="0"/>
              <w:rPr>
                <w:sz w:val="21"/>
                <w:szCs w:val="21"/>
                <w:color w:val="auto"/>
              </w:rPr>
            </w:pPr>
          </w:p>
        </w:tc>
        <w:tc>
          <w:tcPr>
            <w:tcW w:w="2660" w:type="dxa"/>
            <w:vAlign w:val="bottom"/>
            <w:gridSpan w:val="2"/>
          </w:tcPr>
          <w:p>
            <w:pPr>
              <w:jc w:val="right"/>
              <w:ind w:right="680"/>
              <w:spacing w:after="0"/>
              <w:rPr>
                <w:sz w:val="20"/>
                <w:szCs w:val="20"/>
                <w:color w:val="auto"/>
              </w:rPr>
            </w:pPr>
            <w:r>
              <w:rPr>
                <w:rFonts w:ascii="Arial" w:cs="Arial" w:eastAsia="Arial" w:hAnsi="Arial"/>
                <w:sz w:val="18"/>
                <w:szCs w:val="18"/>
                <w:color w:val="auto"/>
              </w:rPr>
              <w:t>(113,000)</w:t>
            </w:r>
          </w:p>
        </w:tc>
        <w:tc>
          <w:tcPr>
            <w:tcW w:w="1400" w:type="dxa"/>
            <w:vAlign w:val="bottom"/>
          </w:tcPr>
          <w:p>
            <w:pPr>
              <w:jc w:val="right"/>
              <w:spacing w:after="0"/>
              <w:rPr>
                <w:sz w:val="20"/>
                <w:szCs w:val="20"/>
                <w:color w:val="auto"/>
              </w:rPr>
            </w:pPr>
            <w:r>
              <w:rPr>
                <w:rFonts w:ascii="Arial" w:cs="Arial" w:eastAsia="Arial" w:hAnsi="Arial"/>
                <w:sz w:val="18"/>
                <w:szCs w:val="18"/>
                <w:color w:val="auto"/>
              </w:rPr>
              <w:t>3,058,919</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rPr>
              <w:t>Fiscal 2017</w:t>
            </w:r>
          </w:p>
        </w:tc>
        <w:tc>
          <w:tcPr>
            <w:tcW w:w="22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3,165,295</w:t>
            </w:r>
          </w:p>
        </w:tc>
        <w:tc>
          <w:tcPr>
            <w:tcW w:w="1920" w:type="dxa"/>
            <w:vAlign w:val="bottom"/>
          </w:tcPr>
          <w:p>
            <w:pPr>
              <w:jc w:val="right"/>
              <w:spacing w:after="0"/>
              <w:rPr>
                <w:sz w:val="20"/>
                <w:szCs w:val="20"/>
                <w:color w:val="auto"/>
              </w:rPr>
            </w:pPr>
            <w:r>
              <w:rPr>
                <w:rFonts w:ascii="Arial" w:cs="Arial" w:eastAsia="Arial" w:hAnsi="Arial"/>
                <w:sz w:val="18"/>
                <w:szCs w:val="18"/>
                <w:color w:val="auto"/>
              </w:rPr>
              <w:t>39,882</w:t>
            </w:r>
          </w:p>
        </w:tc>
        <w:tc>
          <w:tcPr>
            <w:tcW w:w="220" w:type="dxa"/>
            <w:vAlign w:val="bottom"/>
          </w:tcPr>
          <w:p>
            <w:pPr>
              <w:spacing w:after="0"/>
              <w:rPr>
                <w:sz w:val="20"/>
                <w:szCs w:val="20"/>
                <w:color w:val="auto"/>
              </w:rPr>
            </w:pPr>
          </w:p>
        </w:tc>
        <w:tc>
          <w:tcPr>
            <w:tcW w:w="2660" w:type="dxa"/>
            <w:vAlign w:val="bottom"/>
            <w:gridSpan w:val="2"/>
          </w:tcPr>
          <w:p>
            <w:pPr>
              <w:jc w:val="right"/>
              <w:ind w:right="680"/>
              <w:spacing w:after="0"/>
              <w:rPr>
                <w:sz w:val="20"/>
                <w:szCs w:val="20"/>
                <w:color w:val="auto"/>
              </w:rPr>
            </w:pPr>
            <w:r>
              <w:rPr>
                <w:rFonts w:ascii="Arial" w:cs="Arial" w:eastAsia="Arial" w:hAnsi="Arial"/>
                <w:sz w:val="18"/>
                <w:szCs w:val="18"/>
                <w:color w:val="auto"/>
              </w:rPr>
              <w:t>(146,258)</w:t>
            </w:r>
          </w:p>
        </w:tc>
        <w:tc>
          <w:tcPr>
            <w:tcW w:w="1400" w:type="dxa"/>
            <w:vAlign w:val="bottom"/>
          </w:tcPr>
          <w:p>
            <w:pPr>
              <w:jc w:val="right"/>
              <w:spacing w:after="0"/>
              <w:rPr>
                <w:sz w:val="20"/>
                <w:szCs w:val="20"/>
                <w:color w:val="auto"/>
              </w:rPr>
            </w:pPr>
            <w:r>
              <w:rPr>
                <w:rFonts w:ascii="Arial" w:cs="Arial" w:eastAsia="Arial" w:hAnsi="Arial"/>
                <w:sz w:val="18"/>
                <w:szCs w:val="18"/>
                <w:color w:val="auto"/>
              </w:rPr>
              <w:t>3,058,919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right="28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projects to open one retail, one factory and nine Madewell stores during fiscal 2017. The Company expects to close at least 30 stores during fiscal 2017.</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converted three retail stores into J.Crew Mercantile stores.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actual activity.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projected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o"/>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2019-12-06T07:39:00Z</dcterms:created>
  <dcterms:modified xsi:type="dcterms:W3CDTF">2019-12-06T07:39:00Z</dcterms:modified>
</cp:coreProperties>
</file>