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1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May 3, 2008</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163830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4640" w:type="dxa"/>
            <w:vAlign w:val="bottom"/>
          </w:tcPr>
          <w:p>
            <w:pPr>
              <w:jc w:val="center"/>
              <w:spacing w:after="0"/>
              <w:rPr>
                <w:sz w:val="20"/>
                <w:szCs w:val="20"/>
                <w:color w:val="auto"/>
              </w:rPr>
            </w:pPr>
            <w:r>
              <w:rPr>
                <w:rFonts w:ascii="Arial" w:cs="Arial" w:eastAsia="Arial" w:hAnsi="Arial"/>
                <w:sz w:val="14"/>
                <w:szCs w:val="14"/>
                <w:b w:val="1"/>
                <w:bCs w:val="1"/>
                <w:color w:val="auto"/>
                <w:w w:val="87"/>
              </w:rPr>
              <w:t>Registrant, State of Incorporation Address</w:t>
            </w:r>
          </w:p>
        </w:tc>
        <w:tc>
          <w:tcPr>
            <w:tcW w:w="2140" w:type="dxa"/>
            <w:vAlign w:val="bottom"/>
          </w:tcPr>
          <w:p>
            <w:pPr>
              <w:jc w:val="center"/>
              <w:ind w:left="1052"/>
              <w:spacing w:after="0"/>
              <w:rPr>
                <w:sz w:val="20"/>
                <w:szCs w:val="20"/>
                <w:color w:val="auto"/>
              </w:rPr>
            </w:pPr>
            <w:r>
              <w:rPr>
                <w:rFonts w:ascii="Arial" w:cs="Arial" w:eastAsia="Arial" w:hAnsi="Arial"/>
                <w:sz w:val="14"/>
                <w:szCs w:val="14"/>
                <w:b w:val="1"/>
                <w:bCs w:val="1"/>
                <w:color w:val="auto"/>
                <w:w w:val="91"/>
              </w:rPr>
              <w:t>I.R.S. Employer</w:t>
            </w:r>
          </w:p>
        </w:tc>
      </w:tr>
      <w:tr>
        <w:trPr>
          <w:trHeight w:val="180"/>
        </w:trPr>
        <w:tc>
          <w:tcPr>
            <w:tcW w:w="2540" w:type="dxa"/>
            <w:vAlign w:val="bottom"/>
          </w:tcPr>
          <w:p>
            <w:pPr>
              <w:spacing w:after="0"/>
              <w:rPr>
                <w:sz w:val="20"/>
                <w:szCs w:val="20"/>
                <w:color w:val="auto"/>
              </w:rPr>
            </w:pPr>
            <w:r>
              <w:rPr>
                <w:rFonts w:ascii="Arial" w:cs="Arial" w:eastAsia="Arial" w:hAnsi="Arial"/>
                <w:sz w:val="14"/>
                <w:szCs w:val="14"/>
                <w:b w:val="1"/>
                <w:bCs w:val="1"/>
                <w:color w:val="auto"/>
              </w:rPr>
              <w:t>Commission File Number</w:t>
            </w:r>
          </w:p>
        </w:tc>
        <w:tc>
          <w:tcPr>
            <w:tcW w:w="4640" w:type="dxa"/>
            <w:vAlign w:val="bottom"/>
          </w:tcPr>
          <w:p>
            <w:pPr>
              <w:jc w:val="center"/>
              <w:spacing w:after="0"/>
              <w:rPr>
                <w:sz w:val="20"/>
                <w:szCs w:val="20"/>
                <w:color w:val="auto"/>
              </w:rPr>
            </w:pPr>
            <w:r>
              <w:rPr>
                <w:rFonts w:ascii="Arial" w:cs="Arial" w:eastAsia="Arial" w:hAnsi="Arial"/>
                <w:sz w:val="14"/>
                <w:szCs w:val="14"/>
                <w:b w:val="1"/>
                <w:bCs w:val="1"/>
                <w:color w:val="auto"/>
                <w:w w:val="87"/>
              </w:rPr>
              <w:t>and Telephone Number</w:t>
            </w:r>
          </w:p>
        </w:tc>
        <w:tc>
          <w:tcPr>
            <w:tcW w:w="2140" w:type="dxa"/>
            <w:vAlign w:val="bottom"/>
          </w:tcPr>
          <w:p>
            <w:pPr>
              <w:jc w:val="center"/>
              <w:ind w:left="1052"/>
              <w:spacing w:after="0"/>
              <w:rPr>
                <w:sz w:val="20"/>
                <w:szCs w:val="20"/>
                <w:color w:val="auto"/>
              </w:rPr>
            </w:pPr>
            <w:r>
              <w:rPr>
                <w:rFonts w:ascii="Arial" w:cs="Arial" w:eastAsia="Arial" w:hAnsi="Arial"/>
                <w:sz w:val="14"/>
                <w:szCs w:val="14"/>
                <w:b w:val="1"/>
                <w:bCs w:val="1"/>
                <w:color w:val="auto"/>
                <w:w w:val="89"/>
              </w:rPr>
              <w:t>Identification No.</w:t>
            </w:r>
          </w:p>
        </w:tc>
      </w:tr>
    </w:tbl>
    <w:p>
      <w:pPr>
        <w:ind w:left="1360"/>
        <w:spacing w:after="0" w:line="19" w:lineRule="auto"/>
        <w:tabs>
          <w:tab w:leader="none" w:pos="9360" w:val="left"/>
        </w:tabs>
        <w:rPr>
          <w:sz w:val="20"/>
          <w:szCs w:val="20"/>
          <w:color w:val="auto"/>
        </w:rPr>
      </w:pPr>
      <w:r>
        <w:rPr>
          <w:rFonts w:ascii="Arial" w:cs="Arial" w:eastAsia="Arial" w:hAnsi="Arial"/>
          <w:sz w:val="1"/>
          <w:szCs w:val="1"/>
          <w:b w:val="1"/>
          <w:bCs w:val="1"/>
          <w:color w:val="auto"/>
        </w:rPr>
        <w:t>333-42427</w:t>
      </w:r>
      <w:r>
        <w:rPr>
          <w:sz w:val="20"/>
          <w:szCs w:val="20"/>
          <w:color w:val="auto"/>
        </w:rPr>
        <w:tab/>
      </w:r>
      <w:r>
        <w:rPr>
          <w:rFonts w:ascii="Arial" w:cs="Arial" w:eastAsia="Arial" w:hAnsi="Arial"/>
          <w:sz w:val="1"/>
          <w:szCs w:val="1"/>
          <w:b w:val="1"/>
          <w:bCs w:val="1"/>
          <w:color w:val="auto"/>
        </w:rPr>
        <w:t>22-2894486</w:t>
      </w:r>
    </w:p>
    <w:p>
      <w:pPr>
        <w:jc w:val="center"/>
        <w:ind w:right="-439"/>
        <w:spacing w:after="0"/>
        <w:rPr>
          <w:sz w:val="20"/>
          <w:szCs w:val="20"/>
          <w:color w:val="auto"/>
        </w:rPr>
      </w:pPr>
      <w:r>
        <w:rPr>
          <w:rFonts w:ascii="Arial" w:cs="Arial" w:eastAsia="Arial" w:hAnsi="Arial"/>
          <w:sz w:val="43"/>
          <w:szCs w:val="43"/>
          <w:b w:val="1"/>
          <w:bCs w:val="1"/>
          <w:color w:val="auto"/>
        </w:rPr>
        <w:t>J. CREW GROUP, INC.</w:t>
      </w:r>
    </w:p>
    <w:p>
      <w:pPr>
        <w:spacing w:after="0" w:line="13"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(Incorporated in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770 Broadway</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Telephone: (212) 209-2500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 Act).</w:t>
      </w:r>
    </w:p>
    <w:p>
      <w:pPr>
        <w:spacing w:after="0" w:line="162" w:lineRule="exact"/>
        <w:rPr>
          <w:sz w:val="24"/>
          <w:szCs w:val="24"/>
          <w:color w:val="auto"/>
        </w:rPr>
      </w:pPr>
    </w:p>
    <w:p>
      <w:pPr>
        <w:ind w:right="1580" w:firstLine="1781"/>
        <w:spacing w:after="0" w:line="337"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Outstanding at May 30, 2008:</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62,347,883 shares of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 FORM 10-Q</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000" w:type="dxa"/>
            <w:vAlign w:val="bottom"/>
            <w:gridSpan w:val="8"/>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940" w:type="dxa"/>
            <w:vAlign w:val="bottom"/>
            <w:gridSpan w:val="11"/>
            <w:vMerge w:val="restart"/>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0000EE"/>
            </w:tcBorders>
            <w:gridSpan w:val="8"/>
            <w:vMerge w:val="continue"/>
          </w:tcPr>
          <w:p>
            <w:pPr>
              <w:spacing w:after="0"/>
              <w:rPr>
                <w:sz w:val="14"/>
                <w:szCs w:val="14"/>
                <w:color w:val="auto"/>
              </w:rPr>
            </w:pPr>
          </w:p>
        </w:tc>
        <w:tc>
          <w:tcPr>
            <w:tcW w:w="7940" w:type="dxa"/>
            <w:vAlign w:val="bottom"/>
            <w:gridSpan w:val="11"/>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41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Financial Statements (unaudited):</w:t>
              </w:r>
            </w:hyperlink>
          </w:p>
        </w:tc>
        <w:tc>
          <w:tcPr>
            <w:tcW w:w="576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3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at May 3, 2008 and February 2, 2008 (unaudited)</w:t>
              </w:r>
            </w:hyperlink>
          </w:p>
        </w:tc>
        <w:tc>
          <w:tcPr>
            <w:tcW w:w="356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864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thirteen weeks ended May 3, 2008 and May 5, 2007 (unaudited)</w:t>
              </w:r>
            </w:hyperlink>
          </w:p>
        </w:tc>
        <w:tc>
          <w:tcPr>
            <w:tcW w:w="13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9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thirteen weeks ended May 3, 2008 and May 5, 2007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Unaudited Condensed Consolidated Financial Statements</w:t>
              </w:r>
            </w:hyperlink>
          </w:p>
        </w:tc>
        <w:tc>
          <w:tcPr>
            <w:tcW w:w="4000" w:type="dxa"/>
            <w:vAlign w:val="bottom"/>
            <w:tcBorders>
              <w:top w:val="single" w:sz="8" w:color="0000EE"/>
            </w:tcBorders>
            <w:gridSpan w:val="4"/>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4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5">
              <w:r>
                <w:rPr>
                  <w:rFonts w:ascii="Arial" w:cs="Arial" w:eastAsia="Arial" w:hAnsi="Arial"/>
                  <w:sz w:val="18"/>
                  <w:szCs w:val="18"/>
                  <w:color w:val="0000EE"/>
                  <w:w w:val="86"/>
                </w:rPr>
                <w:t>Controls and Procedures</w:t>
              </w:r>
            </w:hyperlink>
          </w:p>
        </w:tc>
        <w:tc>
          <w:tcPr>
            <w:tcW w:w="820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0940" w:type="dxa"/>
            <w:vAlign w:val="bottom"/>
            <w:gridSpan w:val="19"/>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700" w:type="dxa"/>
            <w:vAlign w:val="bottom"/>
            <w:tcBorders>
              <w:top w:val="single" w:sz="8" w:color="0000EE"/>
            </w:tcBorders>
            <w:gridSpan w:val="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824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64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570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3680" w:type="dxa"/>
            <w:vAlign w:val="bottom"/>
            <w:tcBorders>
              <w:top w:val="single" w:sz="8" w:color="0000EE"/>
            </w:tcBorders>
            <w:gridSpan w:val="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626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660" w:type="dxa"/>
            <w:vAlign w:val="bottom"/>
            <w:gridSpan w:val="1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6300" w:type="dxa"/>
            <w:vAlign w:val="bottom"/>
            <w:gridSpan w:val="14"/>
          </w:tcPr>
          <w:p>
            <w:pPr>
              <w:ind w:left="46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80" w:type="dxa"/>
            <w:vAlign w:val="bottom"/>
          </w:tcPr>
          <w:p>
            <w:pPr>
              <w:jc w:val="center"/>
              <w:ind w:left="792"/>
              <w:spacing w:after="0"/>
              <w:rPr>
                <w:sz w:val="20"/>
                <w:szCs w:val="20"/>
                <w:color w:val="auto"/>
              </w:rPr>
            </w:pPr>
            <w:r>
              <w:rPr>
                <w:rFonts w:ascii="Arial" w:cs="Arial" w:eastAsia="Arial" w:hAnsi="Arial"/>
                <w:sz w:val="18"/>
                <w:szCs w:val="18"/>
                <w:b w:val="1"/>
                <w:bCs w:val="1"/>
                <w:color w:val="auto"/>
                <w:w w:val="99"/>
              </w:rPr>
              <w:t>PART I – FINANCIAL INFORMATION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80" w:type="dxa"/>
            <w:vAlign w:val="bottom"/>
          </w:tcPr>
          <w:p>
            <w:pPr>
              <w:ind w:left="100"/>
              <w:spacing w:after="0"/>
              <w:rPr>
                <w:sz w:val="20"/>
                <w:szCs w:val="20"/>
                <w:color w:val="auto"/>
              </w:rPr>
            </w:pPr>
            <w:r>
              <w:rPr>
                <w:rFonts w:ascii="Arial" w:cs="Arial" w:eastAsia="Arial" w:hAnsi="Arial"/>
                <w:sz w:val="18"/>
                <w:szCs w:val="18"/>
                <w:b w:val="1"/>
                <w:bCs w:val="1"/>
                <w:color w:val="auto"/>
              </w:rPr>
              <w:t>CONDENSED CONSOLIDATED FINANCIAL STATEMENTS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80" w:type="dxa"/>
            <w:vAlign w:val="bottom"/>
          </w:tcPr>
          <w:p>
            <w:pPr>
              <w:jc w:val="center"/>
              <w:ind w:left="792"/>
              <w:spacing w:after="0"/>
              <w:rPr>
                <w:sz w:val="20"/>
                <w:szCs w:val="20"/>
                <w:color w:val="auto"/>
              </w:rPr>
            </w:pPr>
            <w:r>
              <w:rPr>
                <w:rFonts w:ascii="Arial" w:cs="Arial" w:eastAsia="Arial" w:hAnsi="Arial"/>
                <w:sz w:val="18"/>
                <w:szCs w:val="18"/>
                <w:b w:val="1"/>
                <w:bCs w:val="1"/>
                <w:color w:val="auto"/>
                <w:w w:val="96"/>
              </w:rPr>
              <w:t>J.CREW GROUP, INC.</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80" w:type="dxa"/>
            <w:vAlign w:val="bottom"/>
          </w:tcPr>
          <w:p>
            <w:pPr>
              <w:jc w:val="center"/>
              <w:ind w:left="77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80" w:type="dxa"/>
            <w:vAlign w:val="bottom"/>
          </w:tcPr>
          <w:p>
            <w:pPr>
              <w:jc w:val="center"/>
              <w:ind w:left="772"/>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80" w:type="dxa"/>
            <w:vAlign w:val="bottom"/>
          </w:tcPr>
          <w:p>
            <w:pPr>
              <w:jc w:val="center"/>
              <w:ind w:left="772"/>
              <w:spacing w:after="0"/>
              <w:rPr>
                <w:sz w:val="20"/>
                <w:szCs w:val="20"/>
                <w:color w:val="auto"/>
              </w:rPr>
            </w:pPr>
            <w:r>
              <w:rPr>
                <w:rFonts w:ascii="Arial" w:cs="Arial" w:eastAsia="Arial" w:hAnsi="Arial"/>
                <w:sz w:val="18"/>
                <w:szCs w:val="18"/>
                <w:color w:val="auto"/>
                <w:w w:val="86"/>
              </w:rPr>
              <w:t>(in thousands, except share data)</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February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80" w:type="dxa"/>
            <w:vAlign w:val="bottom"/>
            <w:shd w:val="clear" w:color="auto" w:fill="CCEEFF"/>
          </w:tcPr>
          <w:p>
            <w:pPr>
              <w:jc w:val="center"/>
              <w:ind w:right="1072"/>
              <w:spacing w:after="0"/>
              <w:rPr>
                <w:sz w:val="20"/>
                <w:szCs w:val="20"/>
                <w:color w:val="auto"/>
              </w:rPr>
            </w:pPr>
            <w:r>
              <w:rPr>
                <w:rFonts w:ascii="Arial" w:cs="Arial" w:eastAsia="Arial" w:hAnsi="Arial"/>
                <w:sz w:val="18"/>
                <w:szCs w:val="18"/>
                <w:b w:val="1"/>
                <w:bCs w:val="1"/>
                <w:color w:val="auto"/>
                <w:w w:val="81"/>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121,532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$ 131,510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Merchandise 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174,493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41,450</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337,475</w:t>
            </w:r>
          </w:p>
        </w:tc>
        <w:tc>
          <w:tcPr>
            <w:tcW w:w="2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20" w:type="dxa"/>
            <w:vAlign w:val="bottom"/>
            <w:gridSpan w:val="3"/>
          </w:tcPr>
          <w:p>
            <w:pPr>
              <w:spacing w:after="0"/>
              <w:rPr>
                <w:sz w:val="20"/>
                <w:szCs w:val="20"/>
                <w:color w:val="auto"/>
              </w:rPr>
            </w:pPr>
            <w:r>
              <w:rPr>
                <w:rFonts w:ascii="Arial" w:cs="Arial" w:eastAsia="Arial" w:hAnsi="Arial"/>
                <w:sz w:val="18"/>
                <w:szCs w:val="18"/>
                <w:color w:val="auto"/>
              </w:rPr>
              <w:t>Property and equipment – at cost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319,842</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(145,404)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174,438</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88"/>
              </w:rPr>
              <w:t>Other assets</w:t>
            </w:r>
          </w:p>
        </w:tc>
        <w:tc>
          <w:tcPr>
            <w:tcW w:w="8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13,072</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assets</w:t>
            </w:r>
          </w:p>
        </w:tc>
        <w:tc>
          <w:tcPr>
            <w:tcW w:w="8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545,212</w:t>
            </w:r>
          </w:p>
        </w:tc>
        <w:tc>
          <w:tcPr>
            <w:tcW w:w="2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$ 535,596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80" w:type="dxa"/>
            <w:vAlign w:val="bottom"/>
            <w:vMerge w:val="restart"/>
          </w:tcPr>
          <w:p>
            <w:pPr>
              <w:jc w:val="center"/>
              <w:ind w:right="1072"/>
              <w:spacing w:after="0"/>
              <w:rPr>
                <w:sz w:val="20"/>
                <w:szCs w:val="20"/>
                <w:color w:val="auto"/>
              </w:rPr>
            </w:pPr>
            <w:r>
              <w:rPr>
                <w:rFonts w:ascii="Arial" w:cs="Arial" w:eastAsia="Arial" w:hAnsi="Arial"/>
                <w:sz w:val="18"/>
                <w:szCs w:val="18"/>
                <w:b w:val="1"/>
                <w:bCs w:val="1"/>
                <w:color w:val="auto"/>
                <w:w w:val="89"/>
              </w:rPr>
              <w:t>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$ 101,277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84,485</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180,142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Deferred credits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68,388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356,245</w:t>
            </w:r>
          </w:p>
        </w:tc>
        <w:tc>
          <w:tcPr>
            <w:tcW w:w="2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Common stock ($.01 par value; 200,000,000 shares authorized; 63,509,580 and 62,823,940 shares issued; 62,260,502 and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61,574,862 shares outstanding)</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572,253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(380,696)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Treasury stock, at cost (1,249,078 shares)</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188,967</w:t>
            </w: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545,212</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$ 535,596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J.CREW GROUP, INC.</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Thirteen weeks ended</w:t>
            </w:r>
          </w:p>
        </w:tc>
        <w:tc>
          <w:tcPr>
            <w:tcW w:w="0" w:type="dxa"/>
            <w:vAlign w:val="bottom"/>
          </w:tcPr>
          <w:p>
            <w:pPr>
              <w:spacing w:after="0"/>
              <w:rPr>
                <w:sz w:val="1"/>
                <w:szCs w:val="1"/>
                <w:color w:val="auto"/>
              </w:rPr>
            </w:pPr>
          </w:p>
        </w:tc>
      </w:tr>
      <w:tr>
        <w:trPr>
          <w:trHeight w:val="129"/>
        </w:trPr>
        <w:tc>
          <w:tcPr>
            <w:tcW w:w="9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8"/>
              </w:rPr>
              <w:t>May 3,</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w w:val="98"/>
              </w:rPr>
              <w:t>May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330,043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287,579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340,579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297,312</w:t>
            </w:r>
          </w:p>
        </w:tc>
        <w:tc>
          <w:tcPr>
            <w:tcW w:w="0" w:type="dxa"/>
            <w:vAlign w:val="bottom"/>
          </w:tcPr>
          <w:p>
            <w:pPr>
              <w:spacing w:after="0"/>
              <w:rPr>
                <w:sz w:val="1"/>
                <w:szCs w:val="1"/>
                <w:color w:val="auto"/>
              </w:rPr>
            </w:pPr>
          </w:p>
        </w:tc>
      </w:tr>
      <w:tr>
        <w:trPr>
          <w:trHeight w:val="218"/>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180,692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158,774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159,887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138,538</w:t>
            </w:r>
          </w:p>
        </w:tc>
        <w:tc>
          <w:tcPr>
            <w:tcW w:w="0" w:type="dxa"/>
            <w:vAlign w:val="bottom"/>
          </w:tcPr>
          <w:p>
            <w:pPr>
              <w:spacing w:after="0"/>
              <w:rPr>
                <w:sz w:val="1"/>
                <w:szCs w:val="1"/>
                <w:color w:val="auto"/>
              </w:rPr>
            </w:pPr>
          </w:p>
        </w:tc>
      </w:tr>
      <w:tr>
        <w:trPr>
          <w:trHeight w:val="218"/>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106,841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44,373</w:t>
            </w:r>
          </w:p>
        </w:tc>
        <w:tc>
          <w:tcPr>
            <w:tcW w:w="0" w:type="dxa"/>
            <w:vAlign w:val="bottom"/>
          </w:tcPr>
          <w:p>
            <w:pPr>
              <w:spacing w:after="0"/>
              <w:rPr>
                <w:sz w:val="1"/>
                <w:szCs w:val="1"/>
                <w:color w:val="auto"/>
              </w:rPr>
            </w:pPr>
          </w:p>
        </w:tc>
      </w:tr>
      <w:tr>
        <w:trPr>
          <w:trHeight w:val="218"/>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40,931</w:t>
            </w:r>
          </w:p>
        </w:tc>
        <w:tc>
          <w:tcPr>
            <w:tcW w:w="0" w:type="dxa"/>
            <w:vAlign w:val="bottom"/>
          </w:tcPr>
          <w:p>
            <w:pPr>
              <w:spacing w:after="0"/>
              <w:rPr>
                <w:sz w:val="1"/>
                <w:szCs w:val="1"/>
                <w:color w:val="auto"/>
              </w:rPr>
            </w:pPr>
          </w:p>
        </w:tc>
      </w:tr>
      <w:tr>
        <w:trPr>
          <w:trHeight w:val="218"/>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30,501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24,649</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63,248</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J.CREW GROUP, INC.</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May 3,</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3"/>
              </w:rPr>
              <w:t>May 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30,501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8,682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(10,093)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Merchandise inventories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(15,968)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Cash flow used in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(14,828)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(10,819)</w:t>
            </w:r>
          </w:p>
        </w:tc>
        <w:tc>
          <w:tcPr>
            <w:tcW w:w="0" w:type="dxa"/>
            <w:vAlign w:val="bottom"/>
          </w:tcPr>
          <w:p>
            <w:pPr>
              <w:spacing w:after="0"/>
              <w:rPr>
                <w:sz w:val="1"/>
                <w:szCs w:val="1"/>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long-term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(25,000)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share-based compensation plans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Costs incurred in connection with amended and restated credit agreement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(11,989)</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131,510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equivalents—end of period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121,532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 CREW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 May 3, 2008 and May 5, 2007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condensed consolidated financial statements presented herein include the accounts of J.Crew Group, Inc. and its wholly owned subsidiaries (“Group” or the “Company”). All significant intercompany balances and transactions are eliminated in consolidation.</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condensed consolidated balance sheet as of May 3, 2008, the condensed consolidated statements of operations for the thirteen weeks ended May 3, 2008 and May 5, 2007, and the condensed consolidated statements of cash flows for the thirteen weeks ended May 3, 2008 and May 5, 2007 have been prepared by the Company and have not been audited. In the opinion of management, all adjustments, consisting of only normal recurring adjustments necessary for the fair presentation of the financial position, results of operations and cash flows, have been made.</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Certain information and footnote disclosure normally included in financial statements prepared in accordance with U.S. generally accepted accounting principles have been condensed or omitted. These financial statements should be read in conjunction with the financial statements and notes thereto included in the consolidated financial statements filed in the Company’s Annual Report on Form 10-K for the fiscal year ended February 2, 2008 (“fiscal 2007”).</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results of operations for the thirteen weeks ended May 3, 2008 are not necessarily indicative of the operating results for the full fiscal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January 29, 2006, the Company adopted the provisions of SFAS No. 123(R), using the modified prospective transition method. Under this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method, share-based compensation recognized in the thirteen weeks ended May 3, 2008 and May 5, 2007 includes compensation cost for all share-based awards:</w:t>
      </w:r>
    </w:p>
    <w:p>
      <w:pPr>
        <w:spacing w:after="0" w:line="44" w:lineRule="exact"/>
        <w:rPr>
          <w:sz w:val="20"/>
          <w:szCs w:val="20"/>
          <w:color w:val="auto"/>
        </w:rPr>
      </w:pPr>
    </w:p>
    <w:p>
      <w:pPr>
        <w:ind w:right="60" w:firstLine="8"/>
        <w:spacing w:after="0" w:line="254"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vested as of January 29, 2006, and (ii) granted subsequent to January 29, 2006, based on the estimated grant date fair value using the Black-Scholes option pricing model. The Company recognizes compensation expense for stock option awards and restricted stock awards on a straight-line basis over the requisite service period of the award. There have been no significant changes subsequent to the end of fiscal 2007 in the methods or assumptions used to measure share-based awards.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impact of share-based awards on our financial condition and results of operations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Thirteen Weeks Ended</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3"/>
              </w:rPr>
              <w:t>May 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8"/>
              </w:rPr>
              <w:t>May 5,</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90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Share-based compensation</w:t>
            </w:r>
            <w:r>
              <w:rPr>
                <w:rFonts w:ascii="Arial" w:cs="Arial" w:eastAsia="Arial" w:hAnsi="Arial"/>
                <w:sz w:val="22"/>
                <w:szCs w:val="22"/>
                <w:color w:val="auto"/>
                <w:vertAlign w:val="superscript"/>
              </w:rPr>
              <w:t>(1)</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00" w:type="dxa"/>
            <w:vAlign w:val="bottom"/>
            <w:gridSpan w:val="2"/>
            <w:vMerge w:val="restart"/>
          </w:tcPr>
          <w:p>
            <w:pPr>
              <w:spacing w:after="0" w:line="250" w:lineRule="exact"/>
              <w:rPr>
                <w:sz w:val="20"/>
                <w:szCs w:val="20"/>
                <w:color w:val="auto"/>
              </w:rPr>
            </w:pPr>
            <w:r>
              <w:rPr>
                <w:rFonts w:ascii="Arial" w:cs="Arial" w:eastAsia="Arial" w:hAnsi="Arial"/>
                <w:sz w:val="18"/>
                <w:szCs w:val="18"/>
                <w:color w:val="auto"/>
              </w:rPr>
              <w:t>Proceeds from exercises of stock options</w:t>
            </w:r>
            <w:r>
              <w:rPr>
                <w:rFonts w:ascii="Arial" w:cs="Arial" w:eastAsia="Arial" w:hAnsi="Arial"/>
                <w:sz w:val="22"/>
                <w:szCs w:val="22"/>
                <w:color w:val="auto"/>
                <w:vertAlign w:val="superscript"/>
              </w:rPr>
              <w:t>(2)</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5,987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ASPP</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Proceeds from share-based compensation plans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5,987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590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color w:val="auto"/>
              </w:rPr>
              <w:t>Excess tax benefit from stock option exercises</w:t>
            </w:r>
            <w:r>
              <w:rPr>
                <w:rFonts w:ascii="Arial" w:cs="Arial" w:eastAsia="Arial" w:hAnsi="Arial"/>
                <w:sz w:val="22"/>
                <w:szCs w:val="22"/>
                <w:color w:val="auto"/>
                <w:vertAlign w:val="superscript"/>
              </w:rPr>
              <w:t>(2)</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10,093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10,148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included in selling, general and administrative expenses.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included in stockholders’ equity.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Group files a consolidated federal income tax return, which includes all of its wholly owned subsidiaries. Each subsidiary files separate, or combined where required, state tax returns in required jurisdictions. Tax years ending January 2002 through January 2006 are currently under audit by the IRS. The results of these audits are not expected to have a significant effect on the results of operations or financial position. Various state and local jurisdiction tax authorities are in the process of examining income tax returns of Group’s subsidiaries for various tax years ranging from 2001 to 2005.</w:t>
      </w:r>
    </w:p>
    <w:p>
      <w:pPr>
        <w:spacing w:after="0" w:line="11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Company has $7.7 million in unrecognized tax benefits, reflected in other liabilities, including interest and penalties. The amount, if recognized, that would affect the effective tax rate is $4.3 million. While the Company expects the amount of unrecognized tax benefits to change in the next twelve months, the change is not expected to have a significant effect on the estimated effective annual tax rate, the results of operations or financial position.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It is the Company’s policy to recognize interest income and expense related to income taxes as a component of interest expense, and penalties as a component of selling, general and administrative expenses. The amount of interest and penalties accrued at May 3, 2008 is $1.1 million.</w:t>
      </w:r>
    </w:p>
    <w:p>
      <w:pPr>
        <w:spacing w:after="0" w:line="160" w:lineRule="exact"/>
        <w:rPr>
          <w:sz w:val="20"/>
          <w:szCs w:val="20"/>
          <w:color w:val="auto"/>
        </w:rPr>
      </w:pPr>
    </w:p>
    <w:p>
      <w:pPr>
        <w:ind w:right="896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and Credit Agreements </w:t>
      </w:r>
      <w:r>
        <w:rPr>
          <w:rFonts w:ascii="Arial" w:cs="Arial" w:eastAsia="Arial" w:hAnsi="Arial"/>
          <w:sz w:val="18"/>
          <w:szCs w:val="18"/>
          <w:i w:val="1"/>
          <w:iCs w:val="1"/>
          <w:color w:val="auto"/>
        </w:rPr>
        <w:t>Debt</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consists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February 2,</w:t>
            </w: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4520" w:type="dxa"/>
            <w:vAlign w:val="bottom"/>
            <w:gridSpan w:val="3"/>
            <w:shd w:val="clear" w:color="auto" w:fill="CCEEFF"/>
          </w:tcPr>
          <w:p>
            <w:pPr>
              <w:jc w:val="center"/>
              <w:ind w:left="3352"/>
              <w:spacing w:after="0"/>
              <w:rPr>
                <w:sz w:val="20"/>
                <w:szCs w:val="20"/>
                <w:color w:val="auto"/>
              </w:rPr>
            </w:pPr>
            <w:r>
              <w:rPr>
                <w:rFonts w:ascii="Arial" w:cs="Arial" w:eastAsia="Arial" w:hAnsi="Arial"/>
                <w:sz w:val="18"/>
                <w:szCs w:val="18"/>
                <w:color w:val="auto"/>
                <w:w w:val="90"/>
              </w:rPr>
              <w:t>$100,000</w:t>
            </w:r>
          </w:p>
        </w:tc>
        <w:tc>
          <w:tcPr>
            <w:tcW w:w="9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$ 125,000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current portion</w:t>
            </w:r>
          </w:p>
        </w:tc>
        <w:tc>
          <w:tcPr>
            <w:tcW w:w="364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4520" w:type="dxa"/>
            <w:vAlign w:val="bottom"/>
            <w:gridSpan w:val="3"/>
            <w:shd w:val="clear" w:color="auto" w:fill="CCEEFF"/>
          </w:tcPr>
          <w:p>
            <w:pPr>
              <w:jc w:val="center"/>
              <w:ind w:left="335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100,000</w:t>
            </w:r>
          </w:p>
        </w:tc>
        <w:tc>
          <w:tcPr>
            <w:tcW w:w="9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$ 125,000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May 15, 2006 (the “Closing Date”), J. Crew Operating Corp. (“Operating”), as borrower, Group and certain of Operating’s direct and indirect subsidiaries, as guarantors, entered into a Credit and Guaranty Agreement (the “Credit and Guaranty Agreement”) with certain lenders named therein as lenders, Goldman Sachs Credit Partners L.P. (“GSCP”) and Bear, Stearns &amp; Co. Inc. as joint lead arrangers and joint bookrunners, GSCP as administrative agent and collateral agent, Bear Stearns Corporate Lending Inc. as syndication agent and Wachovia Bank, National Association as documentation agent.</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total amount of the term loan (the “Term Loan”) borrowed by Operating under the Credit and Guaranty Agreement on the Closing Date was $285.0 million. Borrowings bear interest, at the Company’s option, at the base rate plus a margin of 0.75% or at LIBOR plus a margin of 1.75% per annum, payable quarterly. All borrowings will mature on May 15,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required to make the following annual principal payments: (i) 1% of the original principal balance of the Term Loan due quarterly and</w:t>
      </w:r>
    </w:p>
    <w:p>
      <w:pPr>
        <w:spacing w:after="0" w:line="38" w:lineRule="exact"/>
        <w:rPr>
          <w:sz w:val="20"/>
          <w:szCs w:val="20"/>
          <w:color w:val="auto"/>
        </w:rPr>
      </w:pPr>
    </w:p>
    <w:p>
      <w:pPr>
        <w:ind w:right="620" w:firstLine="8"/>
        <w:spacing w:after="0" w:line="323" w:lineRule="auto"/>
        <w:tabs>
          <w:tab w:leader="none" w:pos="258"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amount equal to 50% of excess cash flow, as defined in the agreement, due within 90 days of the fiscal year-end. The Company made a voluntary prepayment of $25.0 million in April 2008. Aggregate voluntary prepayments are in excess of the required principal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Citicorp</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May 4, 2007, Group and certain of its subsidiaries, as guarantors, and Operating and certain of its subsidiaries, as borrowers, entered into a Second Amended and Restated Credit Agreement (the “Credit Facility”) with Citicorp USA, Inc. (“Citicorp”), as administrative agent, Citicorp, as collateral agent, and Bank of America, N.A. and Wachovia Bank, National Association, as syndication agents.</w:t>
      </w:r>
    </w:p>
    <w:p>
      <w:pPr>
        <w:spacing w:after="0" w:line="14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Credit Facility provides for revolving loans and letters of credit of up to $200 million (which amount may be increased up to $250 million subject to certain conditions) at floating interest rates based on Citibank N.A.’s prime rate plus a margin of up to 0.25% or LIBOR plus a margin ranging from 1.0% to 1.25%. The total amount of availability is limited to the sum of: (a) 100% of qualified cash, (b) 90% of eligible receivables, (c) 92.5% of the net recovery percentage of inventories (as determined by periodic inventory appraisals) for the period August 1 through December 31, or 90% of the net recovery percentage of inventories for the period January 1 through July 31, and (d) 65% of the fair market value of eligible real estate. The Credit Facility expires on May 4, 2013. Excess availability at May 3, 2008 was $175.5 million. There were no short-term borrowings during the first three months of fiscal 2008 or fiscal 2007.</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Borrowings under the Credit Facility are guaranteed by the Company and certain of its subsidiaries, and are secured by a perfected first priority security interest in substantially all of the Company’s assets and those of certain of its subsidiaries. The Credit Facility includes restrictions on the Company’s ability and the ability of certain of its subsidiaries to incur additional indebtedness and liens, pay dividends or make other distributions, make investments, dispose of assets and merge. If excess availability under the Credit Facility is less than $20 million at any time, then the Company’s fixed charge coverage ratio for the most recently ended period of four consecutive fiscal quarters may not be less than 1.10 to 1.00.</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an event of default occurs under the Credit Facility, the lenders may declare all amounts outstanding under the Credit Facility immediately due and payable. In such event, the lenders may exercise any rights and remedies they may have by law or agreement, including the ability to cause all or any part of the collateral securing the Credit Facility to be sold.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HSBC</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October 31, 2007, Operating entered into an unsecured, demand letter of credit facility with The Hong Kong and Shanghai Banking Corporation Limited (“HSBC”) which provides for the issuance of up to $35 million of documentary letters of credit on a no fee basis. Availability under this line was $18.3 million at May 3,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 of basic and diluted income per share is presented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Thirteen Weeks Ended</w:t>
            </w: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3"/>
              </w:rPr>
              <w:t>May 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8"/>
              </w:rPr>
              <w:t>May 5,</w:t>
            </w: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30,501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24,649</w:t>
            </w:r>
          </w:p>
        </w:tc>
        <w:tc>
          <w:tcPr>
            <w:tcW w:w="0" w:type="dxa"/>
            <w:vAlign w:val="bottom"/>
          </w:tcPr>
          <w:p>
            <w:pPr>
              <w:spacing w:after="0"/>
              <w:rPr>
                <w:sz w:val="1"/>
                <w:szCs w:val="1"/>
                <w:color w:val="auto"/>
              </w:rPr>
            </w:pP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Net income per share:</w:t>
            </w: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Basic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61,192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59,731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64,076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63,248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potentially dilutive securities excluded from the calculation of diluted earnings per share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Thirteen Weeks Ended</w:t>
            </w:r>
          </w:p>
        </w:tc>
      </w:tr>
      <w:tr>
        <w:trPr>
          <w:trHeight w:val="129"/>
        </w:trPr>
        <w:tc>
          <w:tcPr>
            <w:tcW w:w="77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May 3,</w:t>
            </w:r>
          </w:p>
        </w:tc>
        <w:tc>
          <w:tcPr>
            <w:tcW w:w="6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May 5,</w:t>
            </w:r>
          </w:p>
        </w:tc>
      </w:tr>
      <w:tr>
        <w:trPr>
          <w:trHeight w:val="161"/>
        </w:trPr>
        <w:tc>
          <w:tcPr>
            <w:tcW w:w="7740" w:type="dxa"/>
            <w:vAlign w:val="bottom"/>
          </w:tcPr>
          <w:p>
            <w:pPr>
              <w:spacing w:after="0"/>
              <w:rPr>
                <w:sz w:val="14"/>
                <w:szCs w:val="14"/>
                <w:color w:val="auto"/>
              </w:rPr>
            </w:pPr>
          </w:p>
        </w:tc>
        <w:tc>
          <w:tcPr>
            <w:tcW w:w="6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3008</w:t>
            </w:r>
          </w:p>
        </w:tc>
        <w:tc>
          <w:tcPr>
            <w:tcW w:w="60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7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Recent Accounting Pronouncements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In September 2006, the Financial Accounting Standards Board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establishes a framework for measuring fair value in generally accepted accounting principles and expands disclosures about fair value measurements. SFAS No. 157 is effective for the Company beginning February 1, 2009. The Company has not yet determined the impact, if any, from the adoption of this new accounting standard.</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SFAS No. 159 permits entities to elect to measure many financial instruments and certain other items at fair value and establishes presentation and disclosure requirements designed to facilitate comparisons between entities that choose different measurement attributes for similar types of assets and liabilities. SFAS No. 159 is effective for the Company beginning February 3, 2008. The adoption of SFAS No. 159 will not impact the financial condition or results of operations of the Company.</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This report contains “forward-looking statements,” which include information concerning our plans, objectives, goals, strategies, future events, future revenues or performance, capital expenditures, financing needs and other information that is not historical information. Many of these statements appear, in particular, under the headings “Condensed Consolidated Financial Statements” and “Management’s Discussion and Analysis of Financial Condition and Results of Operations.” When used in this report, the words “estimate,” “expect,” “anticipate,” “project,” “plan,” “intend,” “believe” and variations of such words or similar expressions are intended to identify forward-looking statements. All forward-looking statements, including, without limitation, our examination of historical operating trends, are based upon our current expectations and various assumptions. We believe there is a reasonable basis for our expectations and beliefs, but there can be no assurance that we will realize our expectations or that our beliefs will prove correct.</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There are a number of risks and uncertainties that could cause our actual results to differ materially from the forward-looking statements contained in this report. Important factors that could cause our actual results to differ materially from those expressed as forward-looking statements are set forth in this report, including but not limited to those under the heading “Risk Factors” in our Annual Report on Form 10-K for the fiscal year ended February 2, 2008 filed with the Securities and Exchange Commission. There may be other factors of which we are currently unaware or deem immaterial that may cause our actual results to differ materially from the forward-looking statements.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All forward-looking statements attributable to us or persons acting on our behalf apply only as of the date they are made and are expressly qualified in their entirety by the cautionary statements included in this report. Except as may be required by law, we undertake no obligation to publicly update or revise any forward-looking statement to reflect events or circumstances occurring after the date they were made or to reflect the occurrence of unanticipated events.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document should be read in conjunction with the Management’s Discussion and Analysis section of our Annual Report on Form 10-K for the fiscal year ended February 2, 2008 filed with the Securities and Exchange Commission. When used herein, the terms “Group,” “Company,” “we,” “us” and “our” refer to J. Crew Group, Inc., including consolidated subsidiaries.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J.Crew is a nationally recognized apparel and accessories brand that we believe embraces a high standard of style, craftsmanship, quality and customer service, while projecting an aspirational American lifestyle. On the basis of data collected on our Internet channel customers, we believe our customer base consists primarily of affluent, college-educated, professional and fashion-conscious women and men.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have two primary sales channels: Stores, which consists of our retail and factory stores, and Direct, which consists of our catalog and our Internet</w:t>
      </w:r>
    </w:p>
    <w:p>
      <w:pPr>
        <w:spacing w:after="0" w:line="4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website at www.jcrew.com. At May 3, 2008, we operated 204 retail stores (including four crewcuts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seven Madewell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and 63 factory stores, compared to 180 retail stores (including three crewcuts stores and three Madewell stores) and 53 factory stores at May 5, 2007.</w:t>
      </w:r>
    </w:p>
    <w:p>
      <w:pPr>
        <w:spacing w:after="0" w:line="18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is a summary of our revenues for the thirteen week periods ended May 3, 2008 (first quarter of fiscal 2008) and May 5, 2007 (first quarter of fiscal 2007):</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b w:val="1"/>
                <w:bCs w:val="1"/>
                <w:color w:val="auto"/>
                <w:w w:val="98"/>
              </w:rPr>
              <w:t>Thirteen Weeks Ended</w:t>
            </w:r>
          </w:p>
        </w:tc>
      </w:tr>
      <w:tr>
        <w:trPr>
          <w:trHeight w:val="129"/>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93"/>
              </w:rPr>
              <w:t>May 3,</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93"/>
              </w:rPr>
              <w:t>May 5,</w:t>
            </w:r>
          </w:p>
        </w:tc>
        <w:tc>
          <w:tcPr>
            <w:tcW w:w="20" w:type="dxa"/>
            <w:vAlign w:val="bottom"/>
          </w:tcPr>
          <w:p>
            <w:pPr>
              <w:spacing w:after="0"/>
              <w:rPr>
                <w:sz w:val="11"/>
                <w:szCs w:val="11"/>
                <w:color w:val="auto"/>
              </w:rPr>
            </w:pPr>
          </w:p>
        </w:tc>
      </w:tr>
      <w:tr>
        <w:trPr>
          <w:trHeight w:val="161"/>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Stores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Direct</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summary of first quarter fiscal 2008 highlights: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totaled $340.6 million, reflecting a 15% increase over prior year revenues of $297.3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increased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net sales increased 17% to $100.9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from operations increased 20% to $53.0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voluntary prepayment of $25.0 million was made under the Term Loan.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opened four J.Crew retail stores, two J.Crew factory stores and one Madewell store.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A key measure for determining how our business is performing is comparable store sales, which reflect net sales at stores that have been open for at least twelve months. In the first quarter of fiscal 2008, we refined our comparable stores sales calculation to include the impact of more significant remodelings of our stores. This refinement did not significantly change the increase in comparable store sales in the first quarter of fiscal 2008.</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 complete description of the measures we use to assess the performance of our business appears in the Management’s Discussion and Analysis section of our Annual Report on Form 10-K for the fiscal year ended February 2, 2008 filed with the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Quarter of Fiscal 2008 Compared to First Quarter of Fiscal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7"/>
              </w:rPr>
              <w:t>Thirteen Weeks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7"/>
              </w:rPr>
              <w:t>Thirteen Weeks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May 3, 2008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May 5, 2007</w:t>
            </w:r>
          </w:p>
        </w:tc>
        <w:tc>
          <w:tcPr>
            <w:tcW w:w="100" w:type="dxa"/>
            <w:vAlign w:val="bottom"/>
          </w:tcPr>
          <w:p>
            <w:pPr>
              <w:spacing w:after="0"/>
              <w:rPr>
                <w:sz w:val="14"/>
                <w:szCs w:val="14"/>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4"/>
              </w:rPr>
              <w:t>Increase / (Decrease)</w:t>
            </w:r>
          </w:p>
        </w:tc>
      </w:tr>
      <w:tr>
        <w:trPr>
          <w:trHeight w:val="129"/>
        </w:trPr>
        <w:tc>
          <w:tcPr>
            <w:tcW w:w="5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Percent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Percent of</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1"/>
        </w:trPr>
        <w:tc>
          <w:tcPr>
            <w:tcW w:w="580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Revenues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44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Dollars</w:t>
            </w:r>
          </w:p>
        </w:tc>
        <w:tc>
          <w:tcPr>
            <w:tcW w:w="3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220" w:type="dxa"/>
            <w:vAlign w:val="bottom"/>
          </w:tcPr>
          <w:p>
            <w:pPr>
              <w:spacing w:after="0"/>
              <w:rPr>
                <w:sz w:val="14"/>
                <w:szCs w:val="14"/>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340.6</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297.3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159.9</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138.5</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21.4</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106.8</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53.0</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44.4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20.2</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16.3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Revenues for the first quarter of fiscal 2008 (the thirteen weeks ended May 3, 2008) increased $43.3 million, or 14.6%, to $340.6 million from $297.3 million in the first quarter of fiscal 2007 (the thirteen weeks ended May 5, 2007). We believe the increase in revenues for the first quarter of fiscal 2008 resulted from the continuing appeal of our expanded product line in both Stores and Direct, the additional number of store locations compared to the prior year and our continuing commitment to customer service.</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Stores sales increased $28.1 million, or 14.0%, to $229.1 million in the first quarter of fiscal 2008 from $201.0 million in the first quarter of fiscal 2007. Comparable store sales increased $4.7 million, or 2.4%, to $200.1 million in the first quarter of fiscal 2008 from $195.4 million in the comparable period last year. Non-comparable store sales were $29.0 million in the first quarter of fiscal 2008.</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Direct sales increased $14.3 million, or 16.6%, to $100.9 million in the first quarter of fiscal 2008 from $86.6 million in the first quarter of fiscal 2007. The number of catalog pages circulated in the first quarter of fiscal 2008 decreased 3% from the comparable period last year. We continue to see a shift of orders place on the phone to the Internet. We evaluate the efficiency of our circulation strategies on a continuing basis and make adjustments as we deem appropriate. The following table summarizes net sales of the Direct channel: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May 3,</w:t>
            </w: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May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6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6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Phone</w:t>
            </w:r>
          </w:p>
        </w:tc>
        <w:tc>
          <w:tcPr>
            <w:tcW w:w="6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Direct net sales</w:t>
            </w:r>
          </w:p>
        </w:tc>
        <w:tc>
          <w:tcPr>
            <w:tcW w:w="6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80" w:type="dxa"/>
            <w:vAlign w:val="bottom"/>
            <w:vMerge w:val="restart"/>
          </w:tcPr>
          <w:p>
            <w:pPr>
              <w:jc w:val="right"/>
              <w:ind w:right="395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approximate percentage of our sales by product category, based on our internal merchandising system,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0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r>
      <w:tr>
        <w:trPr>
          <w:trHeight w:val="129"/>
        </w:trPr>
        <w:tc>
          <w:tcPr>
            <w:tcW w:w="9400" w:type="dxa"/>
            <w:vAlign w:val="bottom"/>
          </w:tcPr>
          <w:p>
            <w:pPr>
              <w:spacing w:after="0"/>
              <w:rPr>
                <w:sz w:val="11"/>
                <w:szCs w:val="11"/>
                <w:color w:val="auto"/>
              </w:rPr>
            </w:pPr>
          </w:p>
        </w:tc>
        <w:tc>
          <w:tcPr>
            <w:tcW w:w="1320" w:type="dxa"/>
            <w:vAlign w:val="bottom"/>
            <w:tcBorders>
              <w:top w:val="single" w:sz="8" w:color="auto"/>
            </w:tcBorders>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93"/>
              </w:rPr>
              <w:t>May 3,</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May 5,</w:t>
            </w:r>
          </w:p>
        </w:tc>
        <w:tc>
          <w:tcPr>
            <w:tcW w:w="140" w:type="dxa"/>
            <w:vAlign w:val="bottom"/>
          </w:tcPr>
          <w:p>
            <w:pPr>
              <w:spacing w:after="0"/>
              <w:rPr>
                <w:sz w:val="11"/>
                <w:szCs w:val="11"/>
                <w:color w:val="auto"/>
              </w:rPr>
            </w:pPr>
          </w:p>
        </w:tc>
      </w:tr>
      <w:tr>
        <w:trPr>
          <w:trHeight w:val="161"/>
        </w:trPr>
        <w:tc>
          <w:tcPr>
            <w:tcW w:w="9400" w:type="dxa"/>
            <w:vAlign w:val="bottom"/>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4"/>
                <w:szCs w:val="14"/>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Apparel:</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Women’s</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Men’s</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Children’s</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9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94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9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increase in Stores and Direct sales in the first quarter of fiscal 2008 was primarily driven by an increase in sales of women’s apparel. This increase was largely driven by sales of sweaters, knits and pants. Sales of men’s apparel and accessories also increased during the period. We offer our children’s apparel both in shops within our retail stores and stand-alone stores, in addition to our Direct channel. As of May 3, 2008, we operated 37 crewcuts shop-in-shops and four stand-alone stores.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Other revenues, which consist primarily of shipping and handling fees and royalties, increased to $10.6 million in the first quarter of fiscal 2008 from $9.7 million in the comparable period last year. The increase resulted primarily from an increase in shipping and handling fees attributable to the increase in Direct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Gross profit increased $21.4 million to $159.9 million in the first quarter of fiscal 2008 from $138.5 million in the first quarter of fiscal 2007. This increase resulted from the following factors: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10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$25.2</w:t>
            </w:r>
          </w:p>
        </w:tc>
        <w:tc>
          <w:tcPr>
            <w:tcW w:w="60" w:type="dxa"/>
            <w:vAlign w:val="bottom"/>
            <w:shd w:val="clear" w:color="auto" w:fill="CCEEFF"/>
          </w:tcPr>
          <w:p>
            <w:pPr>
              <w:spacing w:after="0"/>
              <w:rPr>
                <w:sz w:val="18"/>
                <w:szCs w:val="18"/>
                <w:color w:val="auto"/>
              </w:rPr>
            </w:pPr>
          </w:p>
        </w:tc>
      </w:tr>
      <w:tr>
        <w:trPr>
          <w:trHeight w:val="216"/>
        </w:trPr>
        <w:tc>
          <w:tcPr>
            <w:tcW w:w="10940" w:type="dxa"/>
            <w:vAlign w:val="bottom"/>
          </w:tcPr>
          <w:p>
            <w:pPr>
              <w:spacing w:after="0"/>
              <w:rPr>
                <w:sz w:val="20"/>
                <w:szCs w:val="20"/>
                <w:color w:val="auto"/>
              </w:rPr>
            </w:pPr>
            <w:r>
              <w:rPr>
                <w:rFonts w:ascii="Arial" w:cs="Arial" w:eastAsia="Arial" w:hAnsi="Arial"/>
                <w:sz w:val="18"/>
                <w:szCs w:val="18"/>
                <w:color w:val="auto"/>
              </w:rPr>
              <w:t>Increase in merchandise margin</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10940" w:type="dxa"/>
            <w:vAlign w:val="bottom"/>
            <w:shd w:val="clear" w:color="auto" w:fill="CCEEFF"/>
          </w:tcPr>
          <w:p>
            <w:pPr>
              <w:spacing w:after="0"/>
              <w:rPr>
                <w:sz w:val="20"/>
                <w:szCs w:val="20"/>
                <w:color w:val="auto"/>
              </w:rPr>
            </w:pPr>
            <w:r>
              <w:rPr>
                <w:rFonts w:ascii="Arial" w:cs="Arial" w:eastAsia="Arial" w:hAnsi="Arial"/>
                <w:sz w:val="18"/>
                <w:szCs w:val="18"/>
                <w:color w:val="auto"/>
              </w:rPr>
              <w:t>Increase in buying and occupancy costs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2"/>
        </w:trPr>
        <w:tc>
          <w:tcPr>
            <w:tcW w:w="109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21.4</w:t>
            </w:r>
          </w:p>
        </w:tc>
        <w:tc>
          <w:tcPr>
            <w:tcW w:w="60" w:type="dxa"/>
            <w:vAlign w:val="bottom"/>
          </w:tcPr>
          <w:p>
            <w:pPr>
              <w:spacing w:after="0"/>
              <w:rPr>
                <w:sz w:val="19"/>
                <w:szCs w:val="19"/>
                <w:color w:val="auto"/>
              </w:rPr>
            </w:pPr>
          </w:p>
        </w:tc>
      </w:tr>
      <w:tr>
        <w:trPr>
          <w:trHeight w:val="20"/>
        </w:trPr>
        <w:tc>
          <w:tcPr>
            <w:tcW w:w="10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Gross margin increased to 46.9% in the first quarter of fiscal 2008 from 46.6% in the first quarter of fiscal 2007. The increase in gross margin was driven by approximately 110 basis point expansion in merchandise margin partially offset by approximately 70 basis point increase in buying and occupancy costs as a percentage of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Selling, general and administrative expenses increased $12.6 million, or 13.5%, to $106.8 million in the first quarter of fiscal 2008 from $94.2 million in the first quarter of fiscal 2007. This increase primarily resulted from an increase in Direct and Stores operating expenses, primarily payroll and internet marketing costs.</w:t>
      </w:r>
    </w:p>
    <w:p>
      <w:pPr>
        <w:spacing w:after="0" w:line="14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As a percentage of revenues, selling, general and administrative expenses decreased to 31.4% in the first quarter of fiscal 2008 from 31.7% in the comparable period last year, resulting primarily from the fact that these expenses increased at a slower rate than revenues during fiscal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Interest expense, net decreased $1.0 million to $2.4 million in the first quarter of fiscal 2008 from $3.4 million in the first quarter of fiscal 2007. This decrease primarily reflects our lower average outstanding debt in fiscal 2008 resulting from voluntary prepayments under the Term Loan.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provisions for the first quarter of fiscal 2008 and 2007 reflect our estimated annual effective tax rate of 39.8%.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income increased $5.9 million to $30.5 million in the first quarter of fiscal 2008 from $24.6 million in the first quarter of fiscal 2007. This increase was due to a $21.4 million increase in gross profit driven by the 14.6% increase in revenues, a $1.0 million decrease in interest expense, offset by a $12.6 million increase in selling, general and administrative expenses, and a $3.9 million increase in the provision for income taxes.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primary sources of liquidity are cash flows from operations and borrowings under the Credit Facility (as defined below). Our primary cash needs are</w:t>
      </w:r>
    </w:p>
    <w:p>
      <w:pPr>
        <w:spacing w:after="0" w:line="38"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capital expenditures in connection with opening new stores, enhancing information technology systems and expanding our distribution centers,</w:t>
      </w:r>
    </w:p>
    <w:p>
      <w:pPr>
        <w:spacing w:after="0" w:line="32" w:lineRule="exact"/>
        <w:rPr>
          <w:rFonts w:ascii="Arial" w:cs="Arial" w:eastAsia="Arial" w:hAnsi="Arial"/>
          <w:sz w:val="16"/>
          <w:szCs w:val="16"/>
          <w:color w:val="auto"/>
        </w:rPr>
      </w:pPr>
    </w:p>
    <w:p>
      <w:pPr>
        <w:ind w:right="220" w:firstLine="8"/>
        <w:spacing w:after="0" w:line="261"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debt service requirements and (c) funding working capital requirements. The most significant components of our working capital are cash and cash equivalents, merchandise inventories, accounts payable and other current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Thirteen Weeks Ended</w:t>
            </w:r>
          </w:p>
        </w:tc>
      </w:tr>
      <w:tr>
        <w:trPr>
          <w:trHeight w:val="129"/>
        </w:trPr>
        <w:tc>
          <w:tcPr>
            <w:tcW w:w="966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rPr>
              <w:t>May 3,</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88"/>
              </w:rPr>
              <w:t>May 5,</w:t>
            </w:r>
          </w:p>
        </w:tc>
        <w:tc>
          <w:tcPr>
            <w:tcW w:w="60" w:type="dxa"/>
            <w:vAlign w:val="bottom"/>
          </w:tcPr>
          <w:p>
            <w:pPr>
              <w:spacing w:after="0"/>
              <w:rPr>
                <w:sz w:val="11"/>
                <w:szCs w:val="11"/>
                <w:color w:val="auto"/>
              </w:rPr>
            </w:pPr>
          </w:p>
        </w:tc>
      </w:tr>
      <w:tr>
        <w:trPr>
          <w:trHeight w:val="161"/>
        </w:trPr>
        <w:tc>
          <w:tcPr>
            <w:tcW w:w="9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42"/>
        </w:trPr>
        <w:tc>
          <w:tcPr>
            <w:tcW w:w="9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(amounts in millions)</w:t>
            </w: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Adjustments to reconcile to net cash provided by operations: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r>
      <w:tr>
        <w:trPr>
          <w:trHeight w:val="216"/>
        </w:trPr>
        <w:tc>
          <w:tcPr>
            <w:tcW w:w="9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tcPr>
          <w:p>
            <w:pPr>
              <w:ind w:left="44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2"/>
        </w:trPr>
        <w:tc>
          <w:tcPr>
            <w:tcW w:w="9660" w:type="dxa"/>
            <w:vAlign w:val="bottom"/>
          </w:tcPr>
          <w:p>
            <w:pPr>
              <w:ind w:left="440"/>
              <w:spacing w:after="0"/>
              <w:rPr>
                <w:sz w:val="20"/>
                <w:szCs w:val="20"/>
                <w:color w:val="auto"/>
              </w:rPr>
            </w:pPr>
            <w:r>
              <w:rPr>
                <w:rFonts w:ascii="Arial" w:cs="Arial" w:eastAsia="Arial" w:hAnsi="Arial"/>
                <w:sz w:val="18"/>
                <w:szCs w:val="18"/>
                <w:color w:val="auto"/>
              </w:rPr>
              <w:t>Net cash provided by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9"/>
                <w:szCs w:val="19"/>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provided by operating activities in the first three months of fiscal 2008 was $13.8 million and consisted of (i) net income of $30.5 million,</w:t>
      </w:r>
    </w:p>
    <w:p>
      <w:pPr>
        <w:spacing w:after="0" w:line="38" w:lineRule="exact"/>
        <w:rPr>
          <w:sz w:val="20"/>
          <w:szCs w:val="20"/>
          <w:color w:val="auto"/>
        </w:rPr>
      </w:pPr>
    </w:p>
    <w:p>
      <w:pPr>
        <w:ind w:right="160" w:firstLine="8"/>
        <w:spacing w:after="0" w:line="323"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adjustments to net income of $11.7 million, offset by (iii) changes in operating assets and liabilities – including the impact of excess tax benefits from share-based compensation – of $28.4 million due primarily to increases in inventories and accounts payable resulting from anticipated sales increases.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provided by operating activities in the first three months of fiscal 2007 was $15.2 million and consisted of (i) net income of $24.6 million,</w:t>
      </w:r>
    </w:p>
    <w:p>
      <w:pPr>
        <w:spacing w:after="0" w:line="38" w:lineRule="exact"/>
        <w:rPr>
          <w:sz w:val="20"/>
          <w:szCs w:val="20"/>
          <w:color w:val="auto"/>
        </w:rPr>
      </w:pPr>
    </w:p>
    <w:p>
      <w:pPr>
        <w:ind w:right="240" w:firstLine="8"/>
        <w:spacing w:after="0" w:line="323"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adjustments to net income of $9.1 million, offset by (iii) changes in operating assets and liabilities – including the impact of excess tax benefits from share-based compensation – of $18.5 million due primarily to increases in inventories and accounts payable resulting from anticipated sales increases.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Capital expenditures were $14.8 million in the first three months of fiscal 2008 compared to $10.8 million in the first three months of fiscal 2007. Capital expenditures for the opening of new stores were $6.7 million and $6.3 million in the first three months of fiscal 2008 and fiscal 2007, respectively. Capital expenditures are planned at approximately $80 to $85 million for fiscal 2008, including approximately $35 to $40 million for new stores, $20 to $25 million for information technology enhancements and the remainder for store renovations and refurbishments and general corporate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Thirteen Weeks Ended</w:t>
            </w: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rPr>
              <w:t>May 3,</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88"/>
              </w:rPr>
              <w:t>May 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(amounts in millions)</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Excess tax benefit from share-based compensation</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share-based compensation plans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1"/>
              </w:rPr>
              <w:t>Costs incurred in connection with amended and restated credit agreement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260" w:type="dxa"/>
            <w:vAlign w:val="bottom"/>
            <w:vMerge w:val="restart"/>
          </w:tcPr>
          <w:p>
            <w:pPr>
              <w:jc w:val="right"/>
              <w:ind w:right="377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Cash used in financing activities in the three months of fiscal 2008 was $8.9 million due to (i) a voluntary principal payment under the Term Loan of $25.0 million, offset by (ii) proceeds from share-based compensation plans of $6.0 million and (iii) excess tax benefits from share-based compensation of $10.1 million.</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Cash used in financing activities in the first three months of fiscal 2007 was $12.0 million due to (i) a voluntary principal payment under the Term Loan of $25.0 million, (ii) costs incurred in connection with the amended and restated credit agreement of $1.1 million, offset by (iii) proceeds from share-based compensation plans of $4.0 million and (iv) excess tax benefits from share-based compensation of $10.1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4, 2007, J. Crew Group, Inc. and certain of its subsidiaries, as guarantors, and Operating and certain of its subsidiaries, as borrowers, entered into a Second Amended and Restated Credit Agreement (the “Credit Facility”) with Citicorp USA, Inc. (“Citicorp”), as administrative agent, Citicorp, as collateral agent, and Bank of America, N.A. and Wachovia Bank, National Association, as syndication agents.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Credit Facility provides for revolving loans and letters of credit of up to $200 million (which amount may be increased to up to $250 million subject to certain conditions) at floating interest rates based on Citibank N.A.’s prime rate plus a margin of up to 0.25% or LIBOR plus a margin ranging from 1.0% to 1.25%. The total amount of availability is limited to the sum of: (a) 100% of qualified cash, (b) 90% of eligible receivables, (c) 92.5% of the net recovery percentage of inventories (as determined by periodic inventory appraisals) for the period August 1 through December 31, or 90% of the net recovery percentage of inventories for the period January 1 through July 31, and (d) 65% of the fair market value of eligible real estate. The Credit Facility expires on May 4, 2013.</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Borrowings under the Credit Facility are guaranteed by the Company and certain of its subsidiaries, and are secured by a perfected first priority security interest in substantially all of the Company’s assets and those of certain of its subsidiaries. The Credit Facility includes restrictions on the Company’s ability and the ability of certain of its subsidiaries to incur additional indebtedness and liens, pay dividends or make other distributions, make investments, dispose of assets and merge. If excess availability under the Credit Facility is less than $20 million at any time, then the Company’s fixed charge coverage ratio for the most recently ended period of four consecutive fiscal quarters may not be less than 1.10 to 1.00.</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occurs under the Credit Facility, the lenders may declare all amounts outstanding under the Credit Facility immediately due and payable. In such event, the lenders may exercise any rights and remedies they may have by law or agreement, including the ability to cause all or any part of the collateral securing the Credit Facility to be sold.</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were no short-term borrowings during the first three months of fiscal 2008 or fiscal 2007. There was $175.5 million of excess availability under the Credit Facility at May 3,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Documentary Credit Facility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October 31, 2007, Operating entered into an unsecured, demand letter of credit facility with HSBC which provides for the issuance of up to $35 million of documentary letters of credit on a no fee basis. Availability under this line was $18.3 million at May 3,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Management anticipates that capital expenditures in fiscal 2008 will be approximately $80 to $85 million, primarily for opening 43 new stores, information technology enhancements, store renovations and refurbishments and general corporate purposes. Management believes that the Company’s current cash position, cash flow from operations and availability under the Credit Facility will be adequate to finance working capital needs, planned capital expenditures and debt service obligations for the next twelve months. Our ability to fund our operations and make planned capital expenditures, to make scheduled debt payments, and to remain in compliance with the financial covenants under our debt agreements depends on our future financing activities, our future operating performance and our future cash flow, which in turn, are subject to prevailing economic conditions and to financial, business and other factors, some of which are beyond our control.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enter into documentary letters of credit to facilitate the international purchase of merchandise. We also enter into standby letters of credit to secure certain of our obligations, including insurance programs and duties related to import purchases. As of May 3, 2008, we had the following obligations under letters of credit in future periods:</w:t>
      </w:r>
    </w:p>
    <w:p>
      <w:pPr>
        <w:sectPr>
          <w:pgSz w:w="11900" w:h="16838" w:orient="portrait"/>
          <w:cols w:equalWidth="0" w:num="1">
            <w:col w:w="11420"/>
          </w:cols>
          <w:pgMar w:left="240" w:top="45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Within</w:t>
            </w:r>
          </w:p>
        </w:tc>
        <w:tc>
          <w:tcPr>
            <w:tcW w:w="4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2-3</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4-5</w:t>
            </w:r>
          </w:p>
        </w:tc>
        <w:tc>
          <w:tcPr>
            <w:tcW w:w="22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90"/>
              </w:rPr>
              <w:t>After 5</w:t>
            </w: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1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6"/>
          </w:tcPr>
          <w:p>
            <w:pPr>
              <w:jc w:val="right"/>
              <w:ind w:right="77"/>
              <w:spacing w:after="0" w:line="142" w:lineRule="exact"/>
              <w:rPr>
                <w:sz w:val="20"/>
                <w:szCs w:val="20"/>
                <w:color w:val="auto"/>
              </w:rPr>
            </w:pPr>
            <w:r>
              <w:rPr>
                <w:rFonts w:ascii="Arial" w:cs="Arial" w:eastAsia="Arial" w:hAnsi="Arial"/>
                <w:sz w:val="14"/>
                <w:szCs w:val="14"/>
                <w:b w:val="1"/>
                <w:bCs w:val="1"/>
                <w:color w:val="auto"/>
                <w:w w:val="97"/>
              </w:rPr>
              <w:t>(amounts in millions)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Letters of Credit</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440"/>
              <w:spacing w:after="0"/>
              <w:rPr>
                <w:sz w:val="20"/>
                <w:szCs w:val="20"/>
                <w:color w:val="auto"/>
              </w:rPr>
            </w:pPr>
            <w:r>
              <w:rPr>
                <w:rFonts w:ascii="Arial" w:cs="Arial" w:eastAsia="Arial" w:hAnsi="Arial"/>
                <w:sz w:val="18"/>
                <w:szCs w:val="18"/>
                <w:color w:val="auto"/>
              </w:rPr>
              <w:t>Standby</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Documentary</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17.2</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20" w:type="dxa"/>
            <w:vAlign w:val="bottom"/>
          </w:tcPr>
          <w:p>
            <w:pPr>
              <w:spacing w:after="0"/>
              <w:rPr>
                <w:sz w:val="19"/>
                <w:szCs w:val="19"/>
                <w:color w:val="auto"/>
              </w:rPr>
            </w:pPr>
          </w:p>
        </w:tc>
        <w:tc>
          <w:tcPr>
            <w:tcW w:w="5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24.5</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w:t>
            </w:r>
          </w:p>
        </w:tc>
        <w:tc>
          <w:tcPr>
            <w:tcW w:w="4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080" w:type="dxa"/>
            <w:vAlign w:val="bottom"/>
            <w:vMerge w:val="restart"/>
          </w:tcPr>
          <w:p>
            <w:pPr>
              <w:jc w:val="right"/>
              <w:ind w:right="271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7"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converted a substantial amount of international merchandise purchases to open account from letters of credit thereby reducing the dollar amount of outstanding documentary letters of credit.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business is seasonal. As a result, our revenues fluctuate from quarter to quarter. We have four distinct selling seasons that align with our four fiscal quarters. Revenues are usually substantially higher in our fourth fiscal quarter, particularly December, as customers make holiday purchases. Approximately 30% of our revenues in fiscal year 2007 occurred in the fourth quarter. Our working capital requirements also fluctuate throughout the year, increasing substantially in September and October in anticipation of holiday season inventory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summary of our critical accounting policies is included in the Management’s Discussion and Analysis section of our Annual Report on Form 10-K for the fiscal year ended February 2, 2008 filed with the Securities and Exchange Commission.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principal market risk relates to interest rate sensitivity, which is the risk that future changes in interest rates will reduce our net income or net assets. Our variable rate debt consists of borrowings under the Credit Facility and the Term Loan. The interest rates under the Credit Facility are a function of Citigroup’s prime rate or LIBOR, and the interest rates under the Term Loan are a function of a base rate or LIBOR. A one percentage point change in the interest rate on our variable rate debt would result in a change in income before taxes of approximately $100,000 for each $10.0 million of borrowings under the Credit Facility and approximately $1.0 million for the $100.0 million of borrowings under the Term Loan.</w:t>
      </w:r>
    </w:p>
    <w:p>
      <w:pPr>
        <w:spacing w:after="0" w:line="11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have a licensing agreement in Japan that provides for royalty payments in yen based on sales of J.Crew merchandise. We have entered into forward foreign exchange contracts from time to time in order to minimize this risk. At May 3, 2008, there were no forward foreign exchange contracts outstanding. In February 2008, we provided notice that we do not intend to renew the licensing agreement, which expires in January 2009.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enter into letters of credit to facilitate the international purchase of merchandise. The letters of credit are primarily denominated in U.S. dollars.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Outstanding letters of credit at May 3, 2008 were $24.5 million, including $7.3 million of standby letters of credit.</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Executive Vice President and Chief Financial Officer, carried out an evaluation of the effectiveness of the design and operation of our disclosure controls and procedures (as defined in Rules 13a-15(e) and 15d-15(e) under the Exchange Act) as of the end of the period covered by this report. Based on that evaluation, our Chief Executive Officer and our Executive Vice President and Chief Financial Officer concluded that our disclosure controls and procedures were effective as of the end of the period covered by this report to ensure that information required to be disclosed in the reports that we file or submit under the Exchange Act is recorded, processed, summarized and reported within the time periods specified in SEC rules and forms.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in internal control over financial reporting that occurred during the last fiscal quarter that have materially affected, or are reasonably likely to materially affect, the Company’s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is a party to routine litigation arising in the ordinary course of its business. Although the amount of any liability that could arise with respect to these actions cannot be accurately predicted, in the Company’s opinion, any such liability will not have a material adverse effect on its consolidated financial position, consolidated results of operations or liquidity.</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have been no material changes from the risk factors previously disclosed in the Company’s Annual Report on Form 10-K for the fiscal year ended February 2,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J. Crew Group, Inc.’s Annual Meeting of Stockholders was held June 5, 2008. The following matters were voted upon and approved by the Company’s stockholders at the meeting:</w:t>
      </w:r>
    </w:p>
    <w:p>
      <w:pPr>
        <w:spacing w:after="0" w:line="5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8500" w:type="dxa"/>
            <w:vAlign w:val="bottom"/>
          </w:tcPr>
          <w:p>
            <w:pPr>
              <w:spacing w:after="0"/>
              <w:rPr>
                <w:sz w:val="20"/>
                <w:szCs w:val="20"/>
                <w:color w:val="auto"/>
              </w:rPr>
            </w:pPr>
            <w:r>
              <w:rPr>
                <w:rFonts w:ascii="Arial" w:cs="Arial" w:eastAsia="Arial" w:hAnsi="Arial"/>
                <w:sz w:val="14"/>
                <w:szCs w:val="14"/>
                <w:b w:val="1"/>
                <w:bCs w:val="1"/>
                <w:color w:val="auto"/>
              </w:rPr>
              <w:t>Directors</w:t>
            </w:r>
          </w:p>
        </w:tc>
        <w:tc>
          <w:tcPr>
            <w:tcW w:w="200" w:type="dxa"/>
            <w:vAlign w:val="bottom"/>
          </w:tcPr>
          <w:p>
            <w:pPr>
              <w:spacing w:after="0"/>
              <w:rPr>
                <w:sz w:val="15"/>
                <w:szCs w:val="15"/>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For</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Withheld</w:t>
            </w:r>
          </w:p>
        </w:tc>
      </w:tr>
      <w:tr>
        <w:trPr>
          <w:trHeight w:val="201"/>
        </w:trPr>
        <w:tc>
          <w:tcPr>
            <w:tcW w:w="8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Mary Ann Casati</w:t>
            </w:r>
          </w:p>
        </w:tc>
        <w:tc>
          <w:tcPr>
            <w:tcW w:w="20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59,419,072</w:t>
            </w:r>
          </w:p>
        </w:tc>
        <w:tc>
          <w:tcPr>
            <w:tcW w:w="20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128,831</w:t>
            </w:r>
          </w:p>
        </w:tc>
        <w:tc>
          <w:tcPr>
            <w:tcW w:w="20" w:type="dxa"/>
            <w:vAlign w:val="bottom"/>
          </w:tcPr>
          <w:p>
            <w:pPr>
              <w:spacing w:after="0"/>
              <w:rPr>
                <w:sz w:val="17"/>
                <w:szCs w:val="17"/>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Jonathan Coslet</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59,394,332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153,571</w:t>
            </w:r>
          </w:p>
        </w:tc>
      </w:tr>
      <w:tr>
        <w:trPr>
          <w:trHeight w:val="222"/>
        </w:trPr>
        <w:tc>
          <w:tcPr>
            <w:tcW w:w="8500" w:type="dxa"/>
            <w:vAlign w:val="bottom"/>
          </w:tcPr>
          <w:p>
            <w:pPr>
              <w:spacing w:after="0"/>
              <w:rPr>
                <w:sz w:val="20"/>
                <w:szCs w:val="20"/>
                <w:color w:val="auto"/>
              </w:rPr>
            </w:pPr>
            <w:r>
              <w:rPr>
                <w:rFonts w:ascii="Arial" w:cs="Arial" w:eastAsia="Arial" w:hAnsi="Arial"/>
                <w:sz w:val="18"/>
                <w:szCs w:val="18"/>
                <w:color w:val="auto"/>
              </w:rPr>
              <w:t>Josh Weston</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59,418,088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129,815</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Messrs. Coulter, Drexler, Grand-Jean, House and Sloan and Ms. Reisman are continuing in their terms of office as directors following the annual meeting.</w:t>
      </w:r>
    </w:p>
    <w:p>
      <w:pPr>
        <w:spacing w:after="0" w:line="23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the J. Crew Group, Inc. 2008 Equity Incentive Plan.</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46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00" w:type="dxa"/>
            <w:vAlign w:val="bottom"/>
          </w:tcPr>
          <w:p>
            <w:pPr>
              <w:spacing w:after="0"/>
              <w:rPr>
                <w:sz w:val="15"/>
                <w:szCs w:val="15"/>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10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Broker Non-Vote</w:t>
            </w:r>
          </w:p>
        </w:tc>
      </w:tr>
      <w:tr>
        <w:trPr>
          <w:trHeight w:val="216"/>
        </w:trPr>
        <w:tc>
          <w:tcPr>
            <w:tcW w:w="20" w:type="dxa"/>
            <w:vAlign w:val="bottom"/>
          </w:tcPr>
          <w:p>
            <w:pPr>
              <w:spacing w:after="0"/>
              <w:rPr>
                <w:sz w:val="18"/>
                <w:szCs w:val="18"/>
                <w:color w:val="auto"/>
              </w:rPr>
            </w:pPr>
          </w:p>
        </w:tc>
        <w:tc>
          <w:tcPr>
            <w:tcW w:w="2460" w:type="dxa"/>
            <w:vAlign w:val="bottom"/>
          </w:tcPr>
          <w:p>
            <w:pPr>
              <w:jc w:val="right"/>
              <w:ind w:right="1602"/>
              <w:spacing w:after="0"/>
              <w:rPr>
                <w:sz w:val="20"/>
                <w:szCs w:val="20"/>
                <w:color w:val="auto"/>
              </w:rPr>
            </w:pPr>
            <w:r>
              <w:rPr>
                <w:rFonts w:ascii="Arial" w:cs="Arial" w:eastAsia="Arial" w:hAnsi="Arial"/>
                <w:sz w:val="18"/>
                <w:szCs w:val="18"/>
                <w:color w:val="auto"/>
                <w:w w:val="84"/>
              </w:rPr>
              <w:t>43,549,608</w:t>
            </w:r>
          </w:p>
        </w:tc>
        <w:tc>
          <w:tcPr>
            <w:tcW w:w="100" w:type="dxa"/>
            <w:vAlign w:val="bottom"/>
          </w:tcPr>
          <w:p>
            <w:pPr>
              <w:spacing w:after="0"/>
              <w:rPr>
                <w:sz w:val="18"/>
                <w:szCs w:val="18"/>
                <w:color w:val="auto"/>
              </w:rPr>
            </w:pPr>
          </w:p>
        </w:tc>
        <w:tc>
          <w:tcPr>
            <w:tcW w:w="2480" w:type="dxa"/>
            <w:vAlign w:val="bottom"/>
          </w:tcPr>
          <w:p>
            <w:pPr>
              <w:jc w:val="right"/>
              <w:ind w:right="762"/>
              <w:spacing w:after="0"/>
              <w:rPr>
                <w:sz w:val="20"/>
                <w:szCs w:val="20"/>
                <w:color w:val="auto"/>
              </w:rPr>
            </w:pPr>
            <w:r>
              <w:rPr>
                <w:rFonts w:ascii="Arial" w:cs="Arial" w:eastAsia="Arial" w:hAnsi="Arial"/>
                <w:sz w:val="18"/>
                <w:szCs w:val="18"/>
                <w:color w:val="auto"/>
              </w:rPr>
              <w:t>14,015,630</w:t>
            </w:r>
          </w:p>
        </w:tc>
        <w:tc>
          <w:tcPr>
            <w:tcW w:w="100" w:type="dxa"/>
            <w:vAlign w:val="bottom"/>
          </w:tcPr>
          <w:p>
            <w:pPr>
              <w:spacing w:after="0"/>
              <w:rPr>
                <w:sz w:val="18"/>
                <w:szCs w:val="18"/>
                <w:color w:val="auto"/>
              </w:rPr>
            </w:pPr>
          </w:p>
        </w:tc>
        <w:tc>
          <w:tcPr>
            <w:tcW w:w="2560" w:type="dxa"/>
            <w:vAlign w:val="bottom"/>
          </w:tcPr>
          <w:p>
            <w:pPr>
              <w:jc w:val="right"/>
              <w:ind w:right="108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2460" w:type="dxa"/>
            <w:vAlign w:val="bottom"/>
          </w:tcPr>
          <w:p>
            <w:pPr>
              <w:jc w:val="right"/>
              <w:ind w:right="822"/>
              <w:spacing w:after="0"/>
              <w:rPr>
                <w:sz w:val="20"/>
                <w:szCs w:val="20"/>
                <w:color w:val="auto"/>
              </w:rPr>
            </w:pPr>
            <w:r>
              <w:rPr>
                <w:rFonts w:ascii="Arial" w:cs="Arial" w:eastAsia="Arial" w:hAnsi="Arial"/>
                <w:sz w:val="18"/>
                <w:szCs w:val="18"/>
                <w:color w:val="auto"/>
              </w:rPr>
              <w:t>1,982,215</w:t>
            </w:r>
          </w:p>
        </w:tc>
      </w:tr>
    </w:tbl>
    <w:p>
      <w:pPr>
        <w:spacing w:after="0" w:line="18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Ratification of the appointment of KPMG LLP as the Company’s independent auditors for fiscal year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tcPr>
          <w:p>
            <w:pPr>
              <w:ind w:left="1060"/>
              <w:spacing w:after="0"/>
              <w:rPr>
                <w:sz w:val="20"/>
                <w:szCs w:val="20"/>
                <w:color w:val="auto"/>
              </w:rPr>
            </w:pPr>
            <w:r>
              <w:rPr>
                <w:rFonts w:ascii="Arial" w:cs="Arial" w:eastAsia="Arial" w:hAnsi="Arial"/>
                <w:sz w:val="14"/>
                <w:szCs w:val="14"/>
                <w:b w:val="1"/>
                <w:bCs w:val="1"/>
                <w:color w:val="auto"/>
              </w:rPr>
              <w:t>For</w:t>
            </w:r>
          </w:p>
        </w:tc>
        <w:tc>
          <w:tcPr>
            <w:tcW w:w="120" w:type="dxa"/>
            <w:vAlign w:val="bottom"/>
          </w:tcPr>
          <w:p>
            <w:pPr>
              <w:spacing w:after="0"/>
              <w:rPr>
                <w:sz w:val="15"/>
                <w:szCs w:val="15"/>
                <w:color w:val="auto"/>
              </w:rPr>
            </w:pPr>
          </w:p>
        </w:tc>
        <w:tc>
          <w:tcPr>
            <w:tcW w:w="4120" w:type="dxa"/>
            <w:vAlign w:val="bottom"/>
            <w:gridSpan w:val="3"/>
          </w:tcPr>
          <w:p>
            <w:pPr>
              <w:ind w:left="140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ind w:right="682"/>
              <w:spacing w:after="0"/>
              <w:rPr>
                <w:sz w:val="20"/>
                <w:szCs w:val="20"/>
                <w:color w:val="auto"/>
              </w:rPr>
            </w:pPr>
            <w:r>
              <w:rPr>
                <w:rFonts w:ascii="Arial" w:cs="Arial" w:eastAsia="Arial" w:hAnsi="Arial"/>
                <w:sz w:val="14"/>
                <w:szCs w:val="14"/>
                <w:b w:val="1"/>
                <w:bCs w:val="1"/>
                <w:color w:val="auto"/>
                <w:w w:val="89"/>
              </w:rPr>
              <w:t>Abstain</w:t>
            </w:r>
          </w:p>
        </w:tc>
        <w:tc>
          <w:tcPr>
            <w:tcW w:w="560" w:type="dxa"/>
            <w:vAlign w:val="bottom"/>
          </w:tcPr>
          <w:p>
            <w:pPr>
              <w:spacing w:after="0"/>
              <w:rPr>
                <w:sz w:val="15"/>
                <w:szCs w:val="15"/>
                <w:color w:val="auto"/>
              </w:rPr>
            </w:pPr>
          </w:p>
        </w:tc>
      </w:tr>
      <w:tr>
        <w:trPr>
          <w:trHeight w:val="216"/>
        </w:trPr>
        <w:tc>
          <w:tcPr>
            <w:tcW w:w="580" w:type="dxa"/>
            <w:vAlign w:val="bottom"/>
          </w:tcPr>
          <w:p>
            <w:pPr>
              <w:spacing w:after="0"/>
              <w:rPr>
                <w:sz w:val="18"/>
                <w:szCs w:val="18"/>
                <w:color w:val="auto"/>
              </w:rPr>
            </w:pPr>
          </w:p>
        </w:tc>
        <w:tc>
          <w:tcPr>
            <w:tcW w:w="3500" w:type="dxa"/>
            <w:vAlign w:val="bottom"/>
            <w:tcBorders>
              <w:top w:val="single" w:sz="8" w:color="auto"/>
            </w:tcBorders>
            <w:gridSpan w:val="4"/>
          </w:tcPr>
          <w:p>
            <w:pPr>
              <w:jc w:val="right"/>
              <w:ind w:right="2620"/>
              <w:spacing w:after="0"/>
              <w:rPr>
                <w:sz w:val="20"/>
                <w:szCs w:val="20"/>
                <w:color w:val="auto"/>
              </w:rPr>
            </w:pPr>
            <w:r>
              <w:rPr>
                <w:rFonts w:ascii="Arial" w:cs="Arial" w:eastAsia="Arial" w:hAnsi="Arial"/>
                <w:sz w:val="18"/>
                <w:szCs w:val="18"/>
                <w:color w:val="auto"/>
                <w:w w:val="86"/>
              </w:rPr>
              <w:t>59,194,729</w:t>
            </w:r>
          </w:p>
        </w:tc>
        <w:tc>
          <w:tcPr>
            <w:tcW w:w="120" w:type="dxa"/>
            <w:vAlign w:val="bottom"/>
          </w:tcPr>
          <w:p>
            <w:pPr>
              <w:spacing w:after="0"/>
              <w:rPr>
                <w:sz w:val="18"/>
                <w:szCs w:val="18"/>
                <w:color w:val="auto"/>
              </w:rPr>
            </w:pPr>
          </w:p>
        </w:tc>
        <w:tc>
          <w:tcPr>
            <w:tcW w:w="3280" w:type="dxa"/>
            <w:vAlign w:val="bottom"/>
            <w:tcBorders>
              <w:top w:val="single" w:sz="8" w:color="auto"/>
            </w:tcBorders>
          </w:tcPr>
          <w:p>
            <w:pPr>
              <w:jc w:val="right"/>
              <w:ind w:right="1279"/>
              <w:spacing w:after="0"/>
              <w:rPr>
                <w:sz w:val="20"/>
                <w:szCs w:val="20"/>
                <w:color w:val="auto"/>
              </w:rPr>
            </w:pPr>
            <w:r>
              <w:rPr>
                <w:rFonts w:ascii="Arial" w:cs="Arial" w:eastAsia="Arial" w:hAnsi="Arial"/>
                <w:sz w:val="18"/>
                <w:szCs w:val="18"/>
                <w:color w:val="auto"/>
              </w:rPr>
              <w:t>351,826</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jc w:val="right"/>
              <w:ind w:right="1382"/>
              <w:spacing w:after="0"/>
              <w:rPr>
                <w:sz w:val="20"/>
                <w:szCs w:val="20"/>
                <w:color w:val="auto"/>
              </w:rPr>
            </w:pPr>
            <w:r>
              <w:rPr>
                <w:rFonts w:ascii="Arial" w:cs="Arial" w:eastAsia="Arial" w:hAnsi="Arial"/>
                <w:sz w:val="18"/>
                <w:szCs w:val="18"/>
                <w:color w:val="auto"/>
              </w:rPr>
              <w:t>1,348</w:t>
            </w:r>
          </w:p>
        </w:tc>
        <w:tc>
          <w:tcPr>
            <w:tcW w:w="560" w:type="dxa"/>
            <w:vAlign w:val="bottom"/>
          </w:tcPr>
          <w:p>
            <w:pPr>
              <w:spacing w:after="0"/>
              <w:rPr>
                <w:sz w:val="18"/>
                <w:szCs w:val="18"/>
                <w:color w:val="auto"/>
              </w:rPr>
            </w:pPr>
          </w:p>
        </w:tc>
      </w:tr>
      <w:tr>
        <w:trPr>
          <w:trHeight w:val="49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312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7"/>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00"/>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31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7"/>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Document</w:t>
            </w: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120" w:type="dxa"/>
            <w:vAlign w:val="bottom"/>
            <w:tcBorders>
              <w:top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Articles of Incorporation and Bylaws</w:t>
            </w:r>
          </w:p>
        </w:tc>
        <w:tc>
          <w:tcPr>
            <w:tcW w:w="25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r>
      <w:tr>
        <w:trPr>
          <w:trHeight w:val="303"/>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Arial" w:cs="Arial" w:eastAsia="Arial" w:hAnsi="Arial"/>
                <w:sz w:val="18"/>
                <w:szCs w:val="18"/>
                <w:color w:val="auto"/>
                <w:w w:val="91"/>
              </w:rPr>
              <w:t>Certificate of Incorporation of J. Crew Group, Inc. Incorporated by reference to Exhibit 3.1 to the S-1/A Registration Statement filed on</w:t>
            </w:r>
          </w:p>
        </w:tc>
        <w:tc>
          <w:tcPr>
            <w:tcW w:w="560" w:type="dxa"/>
            <w:vAlign w:val="bottom"/>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October 11, 2005.</w:t>
            </w:r>
          </w:p>
        </w:tc>
        <w:tc>
          <w:tcPr>
            <w:tcW w:w="1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Arial" w:cs="Arial" w:eastAsia="Arial" w:hAnsi="Arial"/>
                <w:sz w:val="18"/>
                <w:szCs w:val="18"/>
                <w:color w:val="auto"/>
              </w:rPr>
              <w:t>Bylaws of J. Crew Group, Inc. Incorporated by reference to Exhibit 3.2 to the Form 8-K/A filed on October 17, 2005.</w:t>
            </w:r>
          </w:p>
        </w:tc>
        <w:tc>
          <w:tcPr>
            <w:tcW w:w="560" w:type="dxa"/>
            <w:vAlign w:val="bottom"/>
          </w:tcPr>
          <w:p>
            <w:pPr>
              <w:spacing w:after="0"/>
              <w:rPr>
                <w:sz w:val="24"/>
                <w:szCs w:val="24"/>
                <w:color w:val="auto"/>
              </w:rPr>
            </w:pPr>
          </w:p>
        </w:tc>
      </w:tr>
      <w:tr>
        <w:trPr>
          <w:trHeight w:val="36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400" w:type="dxa"/>
            <w:vAlign w:val="bottom"/>
            <w:gridSpan w:val="2"/>
          </w:tcPr>
          <w:p>
            <w:pPr>
              <w:ind w:left="15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ind w:left="4160"/>
              <w:spacing w:after="0"/>
              <w:rPr>
                <w:sz w:val="20"/>
                <w:szCs w:val="20"/>
                <w:color w:val="auto"/>
              </w:rPr>
            </w:pPr>
            <w:r>
              <w:rPr>
                <w:rFonts w:ascii="Arial" w:cs="Arial" w:eastAsia="Arial" w:hAnsi="Arial"/>
                <w:sz w:val="18"/>
                <w:szCs w:val="18"/>
                <w:b w:val="1"/>
                <w:bCs w:val="1"/>
                <w:color w:val="auto"/>
              </w:rPr>
              <w:t>Certifications</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24"/>
                <w:szCs w:val="2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11, 2008</w:t>
      </w:r>
      <w:r>
        <w:rPr>
          <w:sz w:val="20"/>
          <w:szCs w:val="20"/>
          <w:color w:val="auto"/>
        </w:rPr>
        <w:tab/>
      </w:r>
      <w:r>
        <w:rPr>
          <w:rFonts w:ascii="Arial" w:cs="Arial" w:eastAsia="Arial" w:hAnsi="Arial"/>
          <w:sz w:val="16"/>
          <w:szCs w:val="16"/>
          <w:color w:val="auto"/>
        </w:rPr>
        <w:t>By: /s/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and Chief Executive Officer</w:t>
      </w:r>
    </w:p>
    <w:p>
      <w:pPr>
        <w:spacing w:after="0" w:line="21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11, 2008</w:t>
      </w:r>
      <w:r>
        <w:rPr>
          <w:sz w:val="20"/>
          <w:szCs w:val="20"/>
          <w:color w:val="auto"/>
        </w:rPr>
        <w:tab/>
      </w:r>
      <w:r>
        <w:rPr>
          <w:rFonts w:ascii="Arial" w:cs="Arial" w:eastAsia="Arial" w:hAnsi="Arial"/>
          <w:sz w:val="16"/>
          <w:szCs w:val="16"/>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S. Scully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240" w:top="459" w:right="11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24"/>
                <w:szCs w:val="2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ind w:left="3800"/>
              <w:spacing w:after="0"/>
              <w:rPr>
                <w:sz w:val="20"/>
                <w:szCs w:val="20"/>
                <w:color w:val="auto"/>
              </w:rPr>
            </w:pPr>
            <w:r>
              <w:rPr>
                <w:rFonts w:ascii="Arial" w:cs="Arial" w:eastAsia="Arial" w:hAnsi="Arial"/>
                <w:sz w:val="18"/>
                <w:szCs w:val="18"/>
                <w:b w:val="1"/>
                <w:bCs w:val="1"/>
                <w:color w:val="auto"/>
              </w:rPr>
              <w:t>Articles of Incorporation and Bylaws</w:t>
            </w: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7"/>
              </w:rPr>
              <w:t>Certificate of Incorporation of J. Crew Group, Inc. Incorporated by reference to Exhibit 3.1 to the S-1/A Registration Statement filed on</w:t>
            </w:r>
          </w:p>
        </w:tc>
      </w:tr>
      <w:tr>
        <w:trPr>
          <w:trHeight w:val="222"/>
        </w:trPr>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October 11, 2005.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Bylaws of J. Crew Group, Inc. Incorporated by reference to Exhibit 3.2 to the Form 8-K/A filed on October 17, 2005.</w:t>
            </w:r>
          </w:p>
        </w:tc>
      </w:tr>
      <w:tr>
        <w:trPr>
          <w:trHeight w:val="432"/>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380" w:type="dxa"/>
            <w:vAlign w:val="bottom"/>
          </w:tcPr>
          <w:p>
            <w:pPr>
              <w:ind w:left="4680"/>
              <w:spacing w:after="0"/>
              <w:rPr>
                <w:sz w:val="20"/>
                <w:szCs w:val="20"/>
                <w:color w:val="auto"/>
              </w:rPr>
            </w:pPr>
            <w:r>
              <w:rPr>
                <w:rFonts w:ascii="Arial" w:cs="Arial" w:eastAsia="Arial" w:hAnsi="Arial"/>
                <w:sz w:val="18"/>
                <w:szCs w:val="18"/>
                <w:b w:val="1"/>
                <w:bCs w:val="1"/>
                <w:color w:val="auto"/>
              </w:rPr>
              <w:t>Certifications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Millard S. Drexler, certify that:</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 Crew Group,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2008</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ILLARD</w:t>
      </w:r>
      <w:r>
        <w:rPr>
          <w:rFonts w:ascii="Arial" w:cs="Arial" w:eastAsia="Arial" w:hAnsi="Arial"/>
          <w:sz w:val="18"/>
          <w:szCs w:val="18"/>
          <w:color w:val="auto"/>
        </w:rPr>
        <w:t xml:space="preserve"> S.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Millard S. Drexler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S. Scully, certify that:</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 Crew Group,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2008</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S. S</w:t>
      </w:r>
      <w:r>
        <w:rPr>
          <w:rFonts w:ascii="Arial" w:cs="Arial" w:eastAsia="Arial" w:hAnsi="Arial"/>
          <w:sz w:val="14"/>
          <w:szCs w:val="14"/>
          <w:color w:val="auto"/>
        </w:rPr>
        <w:t>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James S. Scully</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quarterly report of J.Crew Group, Inc. (the “Company”) on Form 10-Q for the period ended May 3, 2008 as filed with the Securities and Exchange Commission on the date hereof (the “Report”), we, Millard S. Drexler, Chief Executive Officer of the Company, and James S. Scully, Executive Vice President and Chief Financial Officer of the Company, certify, pursuant to 18 U.S.C. Section 1350, as adopted pursuant to Section 906 of the Sarbanes-Oxley Act of 2002, that to the best of each of our knowledge:</w:t>
      </w:r>
    </w:p>
    <w:p>
      <w:pPr>
        <w:spacing w:after="0" w:line="6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2008</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ILLARD</w:t>
      </w:r>
      <w:r>
        <w:rPr>
          <w:rFonts w:ascii="Arial" w:cs="Arial" w:eastAsia="Arial" w:hAnsi="Arial"/>
          <w:sz w:val="18"/>
          <w:szCs w:val="18"/>
          <w:color w:val="auto"/>
        </w:rPr>
        <w:t xml:space="preserve"> S.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Millard S. Drexler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Executive Officer</w:t>
      </w:r>
    </w:p>
    <w:p>
      <w:pPr>
        <w:spacing w:after="0" w:line="23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S. S</w:t>
      </w:r>
      <w:r>
        <w:rPr>
          <w:rFonts w:ascii="Arial" w:cs="Arial" w:eastAsia="Arial" w:hAnsi="Arial"/>
          <w:sz w:val="14"/>
          <w:szCs w:val="14"/>
          <w:color w:val="auto"/>
        </w:rPr>
        <w:t>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James S. Scully</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7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(18 U.S.C. Section 1350) and is not being filed as part of the Report or as a separate disclosure document.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lowerRoman"/>
      <w:start w:val="2"/>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Roman"/>
      <w:start w:val="2"/>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2019-12-12T11:56:15Z</dcterms:created>
  <dcterms:modified xsi:type="dcterms:W3CDTF">2019-12-12T11:56:15Z</dcterms:modified>
</cp:coreProperties>
</file>