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January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J.Crew Group,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96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5100" w:type="dxa"/>
            <w:vAlign w:val="bottom"/>
          </w:tcPr>
          <w:p>
            <w:pPr>
              <w:ind w:left="220"/>
              <w:spacing w:after="0"/>
              <w:rPr>
                <w:sz w:val="20"/>
                <w:szCs w:val="20"/>
                <w:color w:val="auto"/>
              </w:rPr>
            </w:pPr>
            <w:r>
              <w:rPr>
                <w:rFonts w:ascii="Arial" w:cs="Arial" w:eastAsia="Arial" w:hAnsi="Arial"/>
                <w:sz w:val="18"/>
                <w:szCs w:val="18"/>
                <w:b w:val="1"/>
                <w:bCs w:val="1"/>
                <w:color w:val="auto"/>
              </w:rPr>
              <w:t>Commission File Number: 333-175075</w:t>
            </w:r>
          </w:p>
        </w:tc>
      </w:tr>
      <w:tr>
        <w:trPr>
          <w:trHeight w:val="436"/>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100" w:type="dxa"/>
            <w:vAlign w:val="bottom"/>
          </w:tcPr>
          <w:p>
            <w:pPr>
              <w:jc w:val="center"/>
              <w:ind w:left="3879"/>
              <w:spacing w:after="0"/>
              <w:rPr>
                <w:sz w:val="20"/>
                <w:szCs w:val="20"/>
                <w:color w:val="auto"/>
              </w:rPr>
            </w:pPr>
            <w:r>
              <w:rPr>
                <w:rFonts w:ascii="Arial" w:cs="Arial" w:eastAsia="Arial" w:hAnsi="Arial"/>
                <w:sz w:val="18"/>
                <w:szCs w:val="18"/>
                <w:b w:val="1"/>
                <w:bCs w:val="1"/>
                <w:color w:val="auto"/>
                <w:w w:val="89"/>
              </w:rPr>
              <w:t>22-2894486</w:t>
            </w:r>
          </w:p>
        </w:tc>
      </w:tr>
      <w:tr>
        <w:trPr>
          <w:trHeight w:val="149"/>
        </w:trPr>
        <w:tc>
          <w:tcPr>
            <w:tcW w:w="18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100" w:type="dxa"/>
            <w:vAlign w:val="bottom"/>
          </w:tcPr>
          <w:p>
            <w:pPr>
              <w:jc w:val="center"/>
              <w:ind w:left="3879"/>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6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of incorporation)</w:t>
            </w:r>
          </w:p>
        </w:tc>
        <w:tc>
          <w:tcPr>
            <w:tcW w:w="5100" w:type="dxa"/>
            <w:vAlign w:val="bottom"/>
          </w:tcPr>
          <w:p>
            <w:pPr>
              <w:jc w:val="center"/>
              <w:ind w:left="3879"/>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225 Liberty Street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York, New York 10281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 209-2500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January 17, 2020, Chinos Holdings, Inc. (“Parent”), the ultimate parent of J.Crew Group, Inc. (the “Company”), filed an amendment to its registration statement on Form S-1 (the “S-1”) with the Securities and Exchange Commission relating to the previously announced proposed initial public offering of its common stock (the “IPO”). The S-1 contains information, including financial information, relating to the J.Crew and Madewell businesses.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proposed offering will be made only by means of a prospectus. A copy of the preliminary prospectus may be obtained, when available, from the book running manager(s) of the proposed offering when identified. A registration statement on Form S-1 relating to these securities has been filed with the Securities and Exchange Commission but has not yet become effective. These securities to be registered may not be sold nor may offers to buy be accepted prior to the time when the registration statement becomes effective.</w:t>
      </w:r>
    </w:p>
    <w:p>
      <w:pPr>
        <w:spacing w:after="0" w:line="18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The information in this report under Item 7.01 shall not be deemed to be “filed” for purposes of Section 18 of the Securities and Exchange Act of 1934, as amended (the “Exchange Act”), or otherwise subject to the liabilities of that Section, and shall not be incorporated by reference into any filing under the Securities Act of 1933, as amended, or the Exchange Act, except as shall be expressly set forth by specific reference in such a filing.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Certain statements herein and in the exhibits attached hereto, are “forward-looking statements” made pursuant to the safe harbor provisions of the Private Securities Litigation Reform Act of 1995. Such forward-looking statements reflect current expectations or beliefs concerning future events, and actual results of operations may differ materially from historical results or current expectations. Any such forward-looking statements are subject to various risks and uncertainties, including risks relating to the announced IPO, including risks that the IPO may not be consummated on the terms set forth in the S-1 or at all, or, if the IPO is consummated, risks that the anticipated benefits of the IPO may not be achieved, the Company’s substantial indebtedness, its substantial lease obligations, its ability to anticipate and timely respond to changes in trends and consumer preferences, the strength of the global economy, competitive market conditions, its ability to attract and retain key personnel, its ability to successfully develop, launch and grow its newer concepts and execute on strategic initiatives, product offerings, sales channels and businesses, its ability to implement its growth strategy, material disruption to its information systems, compromises to its data security, its ability to maintain the value of its brands and protect its trademarks, its ability to implement its real estate strategy, changes in demographic patterns, adverse or unseasonable weather or other interruptions in its foreign sourcing, customer call, order fulfillment or distribution operations, increases in the demand for or prices of raw materials used to manufacture its products, trade restrictions or disruptions, if the IPO is not consummated, the Company’s continued exploration of strategic alternatives to maximize the value of the Company and the risk that such exploration may not lead to a successful transaction and other factors which are set forth in the section entitled “Risk Factors” and elsewhere in the Company’s Annual Report on Form 10-K and in all filings with the SEC made subsequent to the filing of the Form 10-K. Because of the factors described above and the inherent uncertainty of predicting future events, the Company cautions you against relying on forward-looking statements. The Company does not undertake to publicly update or revise any forward-looking statements, whether as a result of new information, future events or otherwise.</w:t>
      </w:r>
    </w:p>
    <w:p>
      <w:pPr>
        <w:sectPr>
          <w:pgSz w:w="11900" w:h="16838" w:orient="portrait"/>
          <w:cols w:equalWidth="0" w:num="1">
            <w:col w:w="10960"/>
          </w:cols>
          <w:pgMar w:left="440" w:top="270" w:right="49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J.CREW GROUP, INC.</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Arial" w:cs="Arial" w:eastAsia="Arial" w:hAnsi="Arial"/>
          <w:sz w:val="18"/>
          <w:szCs w:val="18"/>
          <w:color w:val="auto"/>
        </w:rPr>
        <w:t>Date: January 17,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Vincent Zanna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0280"/>
      </w:cols>
      <w:pgMar w:left="440" w:top="270"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2020-01-17T16:49:31Z</dcterms:created>
  <dcterms:modified xsi:type="dcterms:W3CDTF">2020-01-17T16:49:31Z</dcterms:modified>
</cp:coreProperties>
</file>