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7"/>
          <w:szCs w:val="17"/>
          <w:b w:val="1"/>
          <w:bCs w:val="1"/>
          <w:color w:val="auto"/>
        </w:rPr>
        <w:t>June 9, 2005</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ind w:left="820"/>
              <w:spacing w:after="0"/>
              <w:rPr>
                <w:sz w:val="20"/>
                <w:szCs w:val="20"/>
                <w:color w:val="auto"/>
              </w:rPr>
            </w:pPr>
            <w:r>
              <w:rPr>
                <w:rFonts w:ascii="Arial" w:cs="Arial" w:eastAsia="Arial" w:hAnsi="Arial"/>
                <w:sz w:val="14"/>
                <w:szCs w:val="14"/>
                <w:b w:val="1"/>
                <w:bCs w:val="1"/>
                <w:color w:val="auto"/>
              </w:rPr>
              <w:t>Commission</w:t>
            </w:r>
          </w:p>
        </w:tc>
        <w:tc>
          <w:tcPr>
            <w:tcW w:w="6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Registrant, State of Incorporation</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7"/>
              </w:rPr>
              <w:t>I.R.S. Employer</w:t>
            </w:r>
          </w:p>
        </w:tc>
      </w:tr>
      <w:tr>
        <w:trPr>
          <w:trHeight w:val="171"/>
        </w:trPr>
        <w:tc>
          <w:tcPr>
            <w:tcW w:w="24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File Number</w:t>
            </w:r>
          </w:p>
        </w:tc>
        <w:tc>
          <w:tcPr>
            <w:tcW w:w="260" w:type="dxa"/>
            <w:vAlign w:val="bottom"/>
          </w:tcPr>
          <w:p>
            <w:pPr>
              <w:spacing w:after="0"/>
              <w:rPr>
                <w:sz w:val="14"/>
                <w:szCs w:val="14"/>
                <w:color w:val="auto"/>
              </w:rPr>
            </w:pP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Address and Telephone Number</w:t>
            </w:r>
          </w:p>
        </w:tc>
        <w:tc>
          <w:tcPr>
            <w:tcW w:w="320" w:type="dxa"/>
            <w:vAlign w:val="bottom"/>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Identification No.</w:t>
            </w:r>
          </w:p>
        </w:tc>
      </w:tr>
    </w:tbl>
    <w:p>
      <w:pPr>
        <w:spacing w:after="0" w:line="10" w:lineRule="exact"/>
        <w:rPr>
          <w:sz w:val="24"/>
          <w:szCs w:val="24"/>
          <w:color w:val="auto"/>
        </w:rPr>
      </w:pPr>
    </w:p>
    <w:tbl>
      <w:tblPr>
        <w:tblLayout w:type="fixed"/>
        <w:tblInd w:w="820" w:type="dxa"/>
        <w:tblCellMar>
          <w:top w:w="0" w:type="dxa"/>
          <w:left w:w="0" w:type="dxa"/>
          <w:bottom w:w="0" w:type="dxa"/>
          <w:right w:w="0" w:type="dxa"/>
        </w:tblCellMar>
      </w:tblPr>
      <w:tr>
        <w:trPr>
          <w:trHeight w:val="368"/>
        </w:trPr>
        <w:tc>
          <w:tcPr>
            <w:tcW w:w="166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w w:val="88"/>
              </w:rPr>
              <w:t>333-42427</w:t>
            </w:r>
          </w:p>
        </w:tc>
        <w:tc>
          <w:tcPr>
            <w:tcW w:w="6260" w:type="dxa"/>
            <w:vAlign w:val="bottom"/>
          </w:tcPr>
          <w:p>
            <w:pPr>
              <w:jc w:val="center"/>
              <w:spacing w:after="0"/>
              <w:rPr>
                <w:sz w:val="20"/>
                <w:szCs w:val="20"/>
                <w:color w:val="auto"/>
              </w:rPr>
            </w:pPr>
            <w:r>
              <w:rPr>
                <w:rFonts w:ascii="Arial" w:cs="Arial" w:eastAsia="Arial" w:hAnsi="Arial"/>
                <w:sz w:val="32"/>
                <w:szCs w:val="32"/>
                <w:b w:val="1"/>
                <w:bCs w:val="1"/>
                <w:color w:val="auto"/>
                <w:w w:val="99"/>
              </w:rPr>
              <w:t>J. CREW GROUP, INC.</w:t>
            </w:r>
          </w:p>
        </w:tc>
        <w:tc>
          <w:tcPr>
            <w:tcW w:w="1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22-2894486</w:t>
            </w:r>
          </w:p>
        </w:tc>
        <w:tc>
          <w:tcPr>
            <w:tcW w:w="0" w:type="dxa"/>
            <w:vAlign w:val="bottom"/>
          </w:tcPr>
          <w:p>
            <w:pPr>
              <w:spacing w:after="0"/>
              <w:rPr>
                <w:sz w:val="1"/>
                <w:szCs w:val="1"/>
                <w:color w:val="auto"/>
              </w:rPr>
            </w:pPr>
          </w:p>
        </w:tc>
      </w:tr>
      <w:tr>
        <w:trPr>
          <w:trHeight w:val="54"/>
        </w:trPr>
        <w:tc>
          <w:tcPr>
            <w:tcW w:w="1660" w:type="dxa"/>
            <w:vAlign w:val="bottom"/>
            <w:vMerge w:val="continue"/>
          </w:tcPr>
          <w:p>
            <w:pPr>
              <w:spacing w:after="0"/>
              <w:rPr>
                <w:sz w:val="4"/>
                <w:szCs w:val="4"/>
                <w:color w:val="auto"/>
              </w:rPr>
            </w:pPr>
          </w:p>
        </w:tc>
        <w:tc>
          <w:tcPr>
            <w:tcW w:w="626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166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Arial" w:cs="Arial" w:eastAsia="Arial" w:hAnsi="Arial"/>
                <w:sz w:val="18"/>
                <w:szCs w:val="18"/>
                <w:color w:val="auto"/>
                <w:w w:val="92"/>
              </w:rPr>
              <w:t>(Incorporated in New York)</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60" w:type="dxa"/>
            <w:vAlign w:val="bottom"/>
          </w:tcPr>
          <w:p>
            <w:pPr>
              <w:jc w:val="center"/>
              <w:spacing w:after="0"/>
              <w:rPr>
                <w:sz w:val="20"/>
                <w:szCs w:val="20"/>
                <w:color w:val="auto"/>
              </w:rPr>
            </w:pPr>
            <w:r>
              <w:rPr>
                <w:rFonts w:ascii="Arial" w:cs="Arial" w:eastAsia="Arial" w:hAnsi="Arial"/>
                <w:sz w:val="18"/>
                <w:szCs w:val="18"/>
                <w:b w:val="1"/>
                <w:bCs w:val="1"/>
                <w:color w:val="auto"/>
                <w:w w:val="90"/>
              </w:rPr>
              <w:t>770 Broadway</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6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New York 10003</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6260" w:type="dxa"/>
            <w:vAlign w:val="bottom"/>
          </w:tcPr>
          <w:p>
            <w:pPr>
              <w:jc w:val="center"/>
              <w:spacing w:after="0"/>
              <w:rPr>
                <w:sz w:val="20"/>
                <w:szCs w:val="20"/>
                <w:color w:val="auto"/>
              </w:rPr>
            </w:pPr>
            <w:r>
              <w:rPr>
                <w:rFonts w:ascii="Arial" w:cs="Arial" w:eastAsia="Arial" w:hAnsi="Arial"/>
                <w:sz w:val="18"/>
                <w:szCs w:val="18"/>
                <w:b w:val="1"/>
                <w:bCs w:val="1"/>
                <w:color w:val="auto"/>
                <w:w w:val="89"/>
              </w:rPr>
              <w:t>Telephone: (212) 209-2500</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66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w w:val="88"/>
              </w:rPr>
              <w:t>333-42423</w:t>
            </w:r>
          </w:p>
        </w:tc>
        <w:tc>
          <w:tcPr>
            <w:tcW w:w="6260" w:type="dxa"/>
            <w:vAlign w:val="bottom"/>
          </w:tcPr>
          <w:p>
            <w:pPr>
              <w:jc w:val="center"/>
              <w:spacing w:after="0"/>
              <w:rPr>
                <w:sz w:val="20"/>
                <w:szCs w:val="20"/>
                <w:color w:val="auto"/>
              </w:rPr>
            </w:pPr>
            <w:r>
              <w:rPr>
                <w:rFonts w:ascii="Arial" w:cs="Arial" w:eastAsia="Arial" w:hAnsi="Arial"/>
                <w:sz w:val="32"/>
                <w:szCs w:val="32"/>
                <w:b w:val="1"/>
                <w:bCs w:val="1"/>
                <w:color w:val="auto"/>
                <w:w w:val="99"/>
              </w:rPr>
              <w:t>J. CREW OPERATING CORP.</w:t>
            </w:r>
          </w:p>
        </w:tc>
        <w:tc>
          <w:tcPr>
            <w:tcW w:w="1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22-3540930</w:t>
            </w:r>
          </w:p>
        </w:tc>
        <w:tc>
          <w:tcPr>
            <w:tcW w:w="0" w:type="dxa"/>
            <w:vAlign w:val="bottom"/>
          </w:tcPr>
          <w:p>
            <w:pPr>
              <w:spacing w:after="0"/>
              <w:rPr>
                <w:sz w:val="1"/>
                <w:szCs w:val="1"/>
                <w:color w:val="auto"/>
              </w:rPr>
            </w:pPr>
          </w:p>
        </w:tc>
      </w:tr>
      <w:tr>
        <w:trPr>
          <w:trHeight w:val="54"/>
        </w:trPr>
        <w:tc>
          <w:tcPr>
            <w:tcW w:w="1660" w:type="dxa"/>
            <w:vAlign w:val="bottom"/>
            <w:vMerge w:val="continue"/>
          </w:tcPr>
          <w:p>
            <w:pPr>
              <w:spacing w:after="0"/>
              <w:rPr>
                <w:sz w:val="4"/>
                <w:szCs w:val="4"/>
                <w:color w:val="auto"/>
              </w:rPr>
            </w:pPr>
          </w:p>
        </w:tc>
        <w:tc>
          <w:tcPr>
            <w:tcW w:w="626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(Incorporated in Delaware)</w:t>
      </w:r>
    </w:p>
    <w:p>
      <w:pPr>
        <w:spacing w:after="0" w:line="23"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770 Broadway</w:t>
      </w:r>
    </w:p>
    <w:p>
      <w:pPr>
        <w:spacing w:after="0" w:line="9"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Telephone: (212) 209-2500</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 (see General Instruction A.2. below):</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On June 9, 2005, J.Crew Group, Inc. issued a press release announcing the Company’s first quarter financial results for the period ended April 30, 2005. The Company is furnishing a copy of the press release hereto as Exhibit 99.1.</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99.1    Press Release issued by J.Crew Group, Inc. on June 9, 2005.</w:t>
      </w:r>
    </w:p>
    <w:p>
      <w:pPr>
        <w:spacing w:after="0" w:line="225"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The information in this Current Report is being furnished and shall not be deemed to be “filed” for purposes of Section 18 of the Securities Exchange Act of 1934, as amended (“Exchange Act”), nor shall such information be deemed incorporated by reference into any filing under the Act, or the Exchange Act, except as expressly stated by specific reference in such filing.</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170" w:lineRule="exact"/>
        <w:rPr>
          <w:sz w:val="24"/>
          <w:szCs w:val="24"/>
          <w:color w:val="auto"/>
        </w:rPr>
      </w:pPr>
    </w:p>
    <w:p>
      <w:pPr>
        <w:ind w:left="5940"/>
        <w:spacing w:after="0"/>
        <w:rPr>
          <w:sz w:val="20"/>
          <w:szCs w:val="20"/>
          <w:color w:val="auto"/>
        </w:rPr>
      </w:pPr>
      <w:r>
        <w:rPr>
          <w:rFonts w:ascii="Arial" w:cs="Arial" w:eastAsia="Arial" w:hAnsi="Arial"/>
          <w:sz w:val="18"/>
          <w:szCs w:val="18"/>
          <w:color w:val="auto"/>
        </w:rPr>
        <w:t>J. CREW GROUP, INC.</w:t>
      </w:r>
    </w:p>
    <w:p>
      <w:pPr>
        <w:spacing w:after="0" w:line="23" w:lineRule="exact"/>
        <w:rPr>
          <w:sz w:val="24"/>
          <w:szCs w:val="24"/>
          <w:color w:val="auto"/>
        </w:rPr>
      </w:pPr>
    </w:p>
    <w:p>
      <w:pPr>
        <w:ind w:left="5940"/>
        <w:spacing w:after="0"/>
        <w:rPr>
          <w:sz w:val="20"/>
          <w:szCs w:val="20"/>
          <w:color w:val="auto"/>
        </w:rPr>
      </w:pPr>
      <w:r>
        <w:rPr>
          <w:rFonts w:ascii="Arial" w:cs="Arial" w:eastAsia="Arial" w:hAnsi="Arial"/>
          <w:sz w:val="18"/>
          <w:szCs w:val="18"/>
          <w:color w:val="auto"/>
        </w:rPr>
        <w:t>J. CREW OPERATING CORP.</w:t>
      </w:r>
    </w:p>
    <w:p>
      <w:pPr>
        <w:spacing w:after="0" w:line="200" w:lineRule="exact"/>
        <w:rPr>
          <w:sz w:val="24"/>
          <w:szCs w:val="24"/>
          <w:color w:val="auto"/>
        </w:rPr>
      </w:pPr>
    </w:p>
    <w:p>
      <w:pPr>
        <w:spacing w:after="0" w:line="227" w:lineRule="exact"/>
        <w:rPr>
          <w:sz w:val="24"/>
          <w:szCs w:val="24"/>
          <w:color w:val="auto"/>
        </w:rPr>
      </w:pPr>
    </w:p>
    <w:tbl>
      <w:tblPr>
        <w:tblLayout w:type="fixed"/>
        <w:tblInd w:w="59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Lamberti</w:t>
            </w:r>
          </w:p>
        </w:tc>
      </w:tr>
      <w:tr>
        <w:trPr>
          <w:trHeight w:val="195"/>
        </w:trPr>
        <w:tc>
          <w:tcPr>
            <w:tcW w:w="920" w:type="dxa"/>
            <w:vAlign w:val="bottom"/>
          </w:tcPr>
          <w:p>
            <w:pPr>
              <w:ind w:left="280"/>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2980"/>
              <w:spacing w:after="0" w:line="195" w:lineRule="exact"/>
              <w:rPr>
                <w:sz w:val="20"/>
                <w:szCs w:val="20"/>
                <w:color w:val="auto"/>
              </w:rPr>
            </w:pPr>
            <w:r>
              <w:rPr>
                <w:rFonts w:ascii="Arial" w:cs="Arial" w:eastAsia="Arial" w:hAnsi="Arial"/>
                <w:sz w:val="18"/>
                <w:szCs w:val="18"/>
                <w:color w:val="auto"/>
              </w:rPr>
              <w:t>Nicholas Lamberti</w:t>
            </w:r>
          </w:p>
        </w:tc>
      </w:tr>
      <w:tr>
        <w:trPr>
          <w:trHeight w:val="230"/>
        </w:trPr>
        <w:tc>
          <w:tcPr>
            <w:tcW w:w="920" w:type="dxa"/>
            <w:vAlign w:val="bottom"/>
          </w:tcPr>
          <w:p>
            <w:pPr>
              <w:ind w:left="280"/>
              <w:spacing w:after="0"/>
              <w:rPr>
                <w:sz w:val="20"/>
                <w:szCs w:val="20"/>
                <w:color w:val="auto"/>
              </w:rPr>
            </w:pPr>
            <w:r>
              <w:rPr>
                <w:rFonts w:ascii="Arial" w:cs="Arial" w:eastAsia="Arial" w:hAnsi="Arial"/>
                <w:sz w:val="18"/>
                <w:szCs w:val="18"/>
                <w:color w:val="auto"/>
              </w:rPr>
              <w:t>Title:</w:t>
            </w:r>
          </w:p>
        </w:tc>
        <w:tc>
          <w:tcPr>
            <w:tcW w:w="4560" w:type="dxa"/>
            <w:vAlign w:val="bottom"/>
          </w:tcPr>
          <w:p>
            <w:pPr>
              <w:ind w:left="2980"/>
              <w:spacing w:after="0"/>
              <w:rPr>
                <w:sz w:val="20"/>
                <w:szCs w:val="20"/>
                <w:color w:val="auto"/>
              </w:rPr>
            </w:pPr>
            <w:r>
              <w:rPr>
                <w:rFonts w:ascii="Arial" w:cs="Arial" w:eastAsia="Arial" w:hAnsi="Arial"/>
                <w:sz w:val="18"/>
                <w:szCs w:val="18"/>
                <w:color w:val="auto"/>
              </w:rPr>
              <w:t>Vice President,</w:t>
            </w:r>
          </w:p>
        </w:tc>
      </w:tr>
    </w:tbl>
    <w:p>
      <w:pPr>
        <w:sectPr>
          <w:pgSz w:w="11900" w:h="16843" w:orient="portrait"/>
          <w:cols w:equalWidth="0" w:num="1">
            <w:col w:w="11420"/>
          </w:cols>
          <w:pgMar w:left="240" w:top="585" w:right="239" w:bottom="0" w:gutter="0" w:footer="0" w:header="0"/>
        </w:sectPr>
      </w:pPr>
    </w:p>
    <w:bookmarkStart w:id="1" w:name="page2"/>
    <w:bookmarkEnd w:id="1"/>
    <w:p>
      <w:pPr>
        <w:ind w:left="9820"/>
        <w:spacing w:after="0"/>
        <w:rPr>
          <w:sz w:val="20"/>
          <w:szCs w:val="20"/>
          <w:color w:val="auto"/>
        </w:rPr>
      </w:pPr>
      <w:r>
        <w:rPr>
          <w:rFonts w:ascii="Arial" w:cs="Arial" w:eastAsia="Arial" w:hAnsi="Arial"/>
          <w:sz w:val="18"/>
          <w:szCs w:val="18"/>
          <w:color w:val="auto"/>
        </w:rPr>
        <w:t>Corporate</w:t>
      </w:r>
    </w:p>
    <w:p>
      <w:pPr>
        <w:spacing w:after="0" w:line="23"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Controller and</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Acting Chief</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Financial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June 9, 2005</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60"/>
          </w:cols>
          <w:pgMar w:left="260" w:top="125" w:right="5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5900" w:type="dxa"/>
            <w:vAlign w:val="bottom"/>
          </w:tcPr>
          <w:p>
            <w:pPr>
              <w:ind w:left="4880"/>
              <w:spacing w:after="0"/>
              <w:rPr>
                <w:sz w:val="20"/>
                <w:szCs w:val="20"/>
                <w:color w:val="auto"/>
              </w:rPr>
            </w:pPr>
            <w:r>
              <w:rPr>
                <w:rFonts w:ascii="Arial" w:cs="Arial" w:eastAsia="Arial" w:hAnsi="Arial"/>
                <w:sz w:val="18"/>
                <w:szCs w:val="18"/>
                <w:color w:val="auto"/>
              </w:rPr>
              <w:t>For:</w:t>
            </w:r>
          </w:p>
        </w:tc>
        <w:tc>
          <w:tcPr>
            <w:tcW w:w="2620" w:type="dxa"/>
            <w:vAlign w:val="bottom"/>
          </w:tcPr>
          <w:p>
            <w:pPr>
              <w:ind w:left="400"/>
              <w:spacing w:after="0"/>
              <w:rPr>
                <w:sz w:val="20"/>
                <w:szCs w:val="20"/>
                <w:color w:val="auto"/>
              </w:rPr>
            </w:pPr>
            <w:r>
              <w:rPr>
                <w:rFonts w:ascii="Arial" w:cs="Arial" w:eastAsia="Arial" w:hAnsi="Arial"/>
                <w:sz w:val="18"/>
                <w:szCs w:val="18"/>
                <w:color w:val="auto"/>
              </w:rPr>
              <w:t>J. Crew Group, Inc.</w:t>
            </w:r>
          </w:p>
        </w:tc>
        <w:tc>
          <w:tcPr>
            <w:tcW w:w="0" w:type="dxa"/>
            <w:vAlign w:val="bottom"/>
          </w:tcPr>
          <w:p>
            <w:pPr>
              <w:spacing w:after="0"/>
              <w:rPr>
                <w:sz w:val="1"/>
                <w:szCs w:val="1"/>
                <w:color w:val="auto"/>
              </w:rPr>
            </w:pPr>
          </w:p>
        </w:tc>
      </w:tr>
      <w:tr>
        <w:trPr>
          <w:trHeight w:val="418"/>
        </w:trPr>
        <w:tc>
          <w:tcPr>
            <w:tcW w:w="1780" w:type="dxa"/>
            <w:vAlign w:val="bottom"/>
          </w:tcPr>
          <w:p>
            <w:pPr>
              <w:spacing w:after="0"/>
              <w:rPr>
                <w:sz w:val="24"/>
                <w:szCs w:val="24"/>
                <w:color w:val="auto"/>
              </w:rPr>
            </w:pPr>
          </w:p>
        </w:tc>
        <w:tc>
          <w:tcPr>
            <w:tcW w:w="5900" w:type="dxa"/>
            <w:vAlign w:val="bottom"/>
          </w:tcPr>
          <w:p>
            <w:pPr>
              <w:ind w:left="4880"/>
              <w:spacing w:after="0"/>
              <w:rPr>
                <w:sz w:val="20"/>
                <w:szCs w:val="20"/>
                <w:color w:val="auto"/>
              </w:rPr>
            </w:pPr>
            <w:r>
              <w:rPr>
                <w:rFonts w:ascii="Arial" w:cs="Arial" w:eastAsia="Arial" w:hAnsi="Arial"/>
                <w:sz w:val="18"/>
                <w:szCs w:val="18"/>
                <w:color w:val="auto"/>
              </w:rPr>
              <w:t>Contact:</w:t>
            </w:r>
          </w:p>
        </w:tc>
        <w:tc>
          <w:tcPr>
            <w:tcW w:w="2620" w:type="dxa"/>
            <w:vAlign w:val="bottom"/>
          </w:tcPr>
          <w:p>
            <w:pPr>
              <w:ind w:left="400"/>
              <w:spacing w:after="0"/>
              <w:rPr>
                <w:sz w:val="20"/>
                <w:szCs w:val="20"/>
                <w:color w:val="auto"/>
              </w:rPr>
            </w:pPr>
            <w:r>
              <w:rPr>
                <w:rFonts w:ascii="Arial" w:cs="Arial" w:eastAsia="Arial" w:hAnsi="Arial"/>
                <w:sz w:val="18"/>
                <w:szCs w:val="18"/>
                <w:color w:val="auto"/>
              </w:rPr>
              <w:t>Nicholas Lamberti</w:t>
            </w:r>
          </w:p>
        </w:tc>
        <w:tc>
          <w:tcPr>
            <w:tcW w:w="0" w:type="dxa"/>
            <w:vAlign w:val="bottom"/>
          </w:tcPr>
          <w:p>
            <w:pPr>
              <w:spacing w:after="0"/>
              <w:rPr>
                <w:sz w:val="1"/>
                <w:szCs w:val="1"/>
                <w:color w:val="auto"/>
              </w:rPr>
            </w:pPr>
          </w:p>
        </w:tc>
      </w:tr>
      <w:tr>
        <w:trPr>
          <w:trHeight w:val="216"/>
        </w:trPr>
        <w:tc>
          <w:tcPr>
            <w:tcW w:w="7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 Immediate Release</w:t>
            </w:r>
          </w:p>
        </w:tc>
        <w:tc>
          <w:tcPr>
            <w:tcW w:w="2620" w:type="dxa"/>
            <w:vAlign w:val="bottom"/>
          </w:tcPr>
          <w:p>
            <w:pPr>
              <w:ind w:left="400"/>
              <w:spacing w:after="0"/>
              <w:rPr>
                <w:sz w:val="20"/>
                <w:szCs w:val="20"/>
                <w:color w:val="auto"/>
              </w:rPr>
            </w:pPr>
            <w:r>
              <w:rPr>
                <w:rFonts w:ascii="Arial" w:cs="Arial" w:eastAsia="Arial" w:hAnsi="Arial"/>
                <w:sz w:val="18"/>
                <w:szCs w:val="18"/>
                <w:color w:val="auto"/>
                <w:w w:val="94"/>
              </w:rPr>
              <w:t>Acting Chief Financial Officer</w:t>
            </w:r>
          </w:p>
        </w:tc>
        <w:tc>
          <w:tcPr>
            <w:tcW w:w="0" w:type="dxa"/>
            <w:vAlign w:val="bottom"/>
          </w:tcPr>
          <w:p>
            <w:pPr>
              <w:spacing w:after="0"/>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2620" w:type="dxa"/>
            <w:vAlign w:val="bottom"/>
          </w:tcPr>
          <w:p>
            <w:pPr>
              <w:ind w:left="400"/>
              <w:spacing w:after="0" w:line="190" w:lineRule="exact"/>
              <w:rPr>
                <w:sz w:val="20"/>
                <w:szCs w:val="20"/>
                <w:color w:val="auto"/>
              </w:rPr>
            </w:pPr>
            <w:r>
              <w:rPr>
                <w:rFonts w:ascii="Arial" w:cs="Arial" w:eastAsia="Arial" w:hAnsi="Arial"/>
                <w:sz w:val="18"/>
                <w:szCs w:val="18"/>
                <w:color w:val="auto"/>
              </w:rPr>
              <w:t>(212) 209-8640</w:t>
            </w:r>
          </w:p>
        </w:tc>
        <w:tc>
          <w:tcPr>
            <w:tcW w:w="0" w:type="dxa"/>
            <w:vAlign w:val="bottom"/>
          </w:tcPr>
          <w:p>
            <w:pPr>
              <w:spacing w:after="0"/>
              <w:rPr>
                <w:sz w:val="1"/>
                <w:szCs w:val="1"/>
                <w:color w:val="auto"/>
              </w:rPr>
            </w:pPr>
          </w:p>
        </w:tc>
      </w:tr>
      <w:tr>
        <w:trPr>
          <w:trHeight w:val="438"/>
        </w:trPr>
        <w:tc>
          <w:tcPr>
            <w:tcW w:w="1780" w:type="dxa"/>
            <w:vAlign w:val="bottom"/>
            <w:tcBorders>
              <w:top w:val="single" w:sz="8" w:color="auto"/>
            </w:tcBorders>
          </w:tcPr>
          <w:p>
            <w:pPr>
              <w:spacing w:after="0"/>
              <w:rPr>
                <w:sz w:val="24"/>
                <w:szCs w:val="24"/>
                <w:color w:val="auto"/>
              </w:rPr>
            </w:pPr>
          </w:p>
        </w:tc>
        <w:tc>
          <w:tcPr>
            <w:tcW w:w="5900" w:type="dxa"/>
            <w:vAlign w:val="bottom"/>
          </w:tcPr>
          <w:p>
            <w:pPr>
              <w:spacing w:after="0"/>
              <w:rPr>
                <w:sz w:val="24"/>
                <w:szCs w:val="24"/>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Owen Blicksilver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Owen Blicksilver PR</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(516) 742-5950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 CREW GROUP REPORTS FIRST QUARTER OPERATING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$23 MILLION COMPARED TO LOSS OF $3 MILLION IN 2004</w:t>
      </w:r>
    </w:p>
    <w:p>
      <w:pPr>
        <w:spacing w:after="0" w:line="207" w:lineRule="exact"/>
        <w:rPr>
          <w:sz w:val="20"/>
          <w:szCs w:val="20"/>
          <w:color w:val="auto"/>
        </w:rPr>
      </w:pPr>
    </w:p>
    <w:p>
      <w:pPr>
        <w:ind w:right="440" w:firstLine="648"/>
        <w:spacing w:after="0" w:line="313" w:lineRule="auto"/>
        <w:rPr>
          <w:sz w:val="20"/>
          <w:szCs w:val="20"/>
          <w:color w:val="auto"/>
        </w:rPr>
      </w:pPr>
      <w:r>
        <w:rPr>
          <w:rFonts w:ascii="Arial" w:cs="Arial" w:eastAsia="Arial" w:hAnsi="Arial"/>
          <w:sz w:val="17"/>
          <w:szCs w:val="17"/>
          <w:b w:val="1"/>
          <w:bCs w:val="1"/>
          <w:color w:val="auto"/>
        </w:rPr>
        <w:t xml:space="preserve">NEW YORK (June 9, 2005) </w:t>
      </w:r>
      <w:r>
        <w:rPr>
          <w:rFonts w:ascii="Arial" w:cs="Arial" w:eastAsia="Arial" w:hAnsi="Arial"/>
          <w:sz w:val="17"/>
          <w:szCs w:val="17"/>
          <w:color w:val="auto"/>
        </w:rPr>
        <w:t>- J. Crew announced today that its operating income for the thirteen weeks ended April 30, 2005 was $23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an operating loss of $3 million last year, as the Company continues to benefit from the revitalization of the J. Crew brand.</w:t>
      </w:r>
    </w:p>
    <w:p>
      <w:pPr>
        <w:spacing w:after="0" w:line="14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Millard Drexler, Chairman and CEO, said, “We are pleased with our first quarter results with a comp store sales increase of 37% and significant growth in our Direct business. Our continuing focus on quality, style and design, along with endless attention to our customers’ needs, is reflected in J.Crew’s performance. I might add that the scarcity of our merchandise in last year’s first quarter also helped contribute to this quarter’s strong comp performance.”</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Consolidated revenues for the first quarter increased 45% to $211 million from $146 million in the comparable period last year. Retail net sales (including Factory) increased by 40% to $146 million from $104 million last year due primarily to a comparable store sales increase of 37%. Net sales of the Direct business (Internet and catalog) increased by 59% to $59 million as compared to $37 million.</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operating results for the quarter reflect a gross margin increase to 46% in 2005 from 42% in 2004 due to higher full price selling and leverage on fixed buying and occupancy costs.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Selling, general and administrative expenses during the quarter were $74 million, or 35% of revenues, compared to $64 million, or 44% of revenues in the prior year. The decrease as a percentage of revenues was driven primarily by leverage on fixed operating expenses due to the significant increase in revenues.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for the first quarter was $5 million compared to a net loss of $24 million in the prior year.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Inventory at April 30, 2005 was $105 million, up 24% from the comparable period last year. The increase in inventories is consistent with our strong sales performance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conservative inventory strategy in last year’s first quarter. There were no outstanding borrowings under the Company’s working capital facility during the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Conference Call</w:t>
      </w:r>
    </w:p>
    <w:p>
      <w:pPr>
        <w:spacing w:after="0" w:line="229"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The Company’s first quarter investor conference call will be held tomorrow, June 10, 2005 at 11 a.m. eastern time. The event will be available through an audio webcast at www.jcrew.com (click on “Help” and “Investor Relations”) and www.companyboardroom.com. A replay of the call will be archived on those websites and will also be available by telephone through June 17, 2005 at (888) 286-8010, reference #45237865.</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J. Crew Group, Inc. is a leading retailer of men’s and women’s apparel, shoes and accessories. The Company operates 157 retail stores, the J. Crew catalog business, jcrew.com, and 43 factory outlet stores.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the performance of the Company’s products within the prevailing retail environment, trade restrictions, political or financial instability in countries where the Company’s goods are manufactured, postal rate increases, paper and printing costs, availability of suitable store locations at appropriate terms and other factors which are set forth in the Company’s Form 10-K and in all filings with the SEC made by the Company subsequent to the filing of the Form 10-K. The Company does not undertake to publicly update or revise its forward-looking statements, whether as a result of new information, future events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to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Crew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02"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6350</wp:posOffset>
            </wp:positionV>
            <wp:extent cx="17151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ind w:left="7840"/>
        <w:spacing w:after="0"/>
        <w:tabs>
          <w:tab w:leader="none" w:pos="9300" w:val="left"/>
        </w:tabs>
        <w:rPr>
          <w:sz w:val="20"/>
          <w:szCs w:val="20"/>
          <w:color w:val="auto"/>
        </w:rPr>
      </w:pPr>
      <w:r>
        <w:rPr>
          <w:rFonts w:ascii="Arial" w:cs="Arial" w:eastAsia="Arial" w:hAnsi="Arial"/>
          <w:sz w:val="14"/>
          <w:szCs w:val="14"/>
          <w:b w:val="1"/>
          <w:bCs w:val="1"/>
          <w:color w:val="auto"/>
        </w:rPr>
        <w:t>04/30/05</w:t>
      </w:r>
      <w:r>
        <w:rPr>
          <w:sz w:val="20"/>
          <w:szCs w:val="20"/>
          <w:color w:val="auto"/>
        </w:rPr>
        <w:tab/>
      </w:r>
      <w:r>
        <w:rPr>
          <w:rFonts w:ascii="Arial" w:cs="Arial" w:eastAsia="Arial" w:hAnsi="Arial"/>
          <w:sz w:val="14"/>
          <w:szCs w:val="14"/>
          <w:b w:val="1"/>
          <w:bCs w:val="1"/>
          <w:color w:val="auto"/>
        </w:rPr>
        <w:t>05/01/04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-3175</wp:posOffset>
            </wp:positionV>
            <wp:extent cx="17151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ind w:left="8460"/>
        <w:spacing w:after="0" w:line="223" w:lineRule="auto"/>
        <w:rPr>
          <w:sz w:val="20"/>
          <w:szCs w:val="20"/>
          <w:color w:val="auto"/>
        </w:rPr>
      </w:pPr>
      <w:r>
        <w:rPr>
          <w:rFonts w:ascii="Arial" w:cs="Arial" w:eastAsia="Arial" w:hAnsi="Arial"/>
          <w:sz w:val="14"/>
          <w:szCs w:val="14"/>
          <w:b w:val="1"/>
          <w:bCs w:val="1"/>
          <w:color w:val="auto"/>
        </w:rPr>
        <w:t>(Unaudited)</w:t>
      </w:r>
    </w:p>
    <w:p>
      <w:pPr>
        <w:ind w:left="8400"/>
        <w:spacing w:after="0"/>
        <w:rPr>
          <w:sz w:val="20"/>
          <w:szCs w:val="20"/>
          <w:color w:val="auto"/>
        </w:rPr>
      </w:pPr>
      <w:r>
        <w:rPr>
          <w:rFonts w:ascii="Arial" w:cs="Arial" w:eastAsia="Arial" w:hAnsi="Arial"/>
          <w:sz w:val="14"/>
          <w:szCs w:val="14"/>
          <w:b w:val="1"/>
          <w:bCs w:val="1"/>
          <w:color w:val="auto"/>
        </w:rPr>
        <w:t>($ in millions)</w:t>
      </w:r>
    </w:p>
    <w:p>
      <w:pPr>
        <w:sectPr>
          <w:pgSz w:w="11900" w:h="16838" w:orient="portrait"/>
          <w:cols w:equalWidth="0" w:num="1">
            <w:col w:w="11420"/>
          </w:cols>
          <w:pgMar w:left="240" w:top="121" w:right="239" w:bottom="0" w:gutter="0" w:footer="0" w:header="0"/>
        </w:sectPr>
      </w:pPr>
    </w:p>
    <w:p>
      <w:pPr>
        <w:spacing w:after="0" w:line="129" w:lineRule="exact"/>
        <w:rPr>
          <w:sz w:val="20"/>
          <w:szCs w:val="20"/>
          <w:color w:val="auto"/>
        </w:rPr>
      </w:pPr>
    </w:p>
    <w:p>
      <w:pPr>
        <w:ind w:left="180"/>
        <w:spacing w:after="0"/>
        <w:tabs>
          <w:tab w:leader="none" w:pos="7460" w:val="left"/>
          <w:tab w:leader="none" w:pos="8420" w:val="left"/>
          <w:tab w:leader="none" w:pos="8940" w:val="left"/>
          <w:tab w:leader="none" w:pos="9880" w:val="left"/>
        </w:tabs>
        <w:rPr>
          <w:sz w:val="20"/>
          <w:szCs w:val="20"/>
          <w:color w:val="auto"/>
        </w:rPr>
      </w:pPr>
      <w:r>
        <w:rPr>
          <w:rFonts w:ascii="Arial" w:cs="Arial" w:eastAsia="Arial" w:hAnsi="Arial"/>
          <w:sz w:val="18"/>
          <w:szCs w:val="18"/>
          <w:color w:val="auto"/>
        </w:rPr>
        <w:t>Revenues(a)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211</w:t>
        <w:tab/>
        <w:t>$</w:t>
      </w:r>
      <w:r>
        <w:rPr>
          <w:sz w:val="20"/>
          <w:szCs w:val="20"/>
          <w:color w:val="auto"/>
        </w:rPr>
        <w:tab/>
      </w: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 including buying and occupancy costs</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expense(b)</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2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8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Summary of Revenues</w:t>
            </w: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3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2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 store sales</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Retail</w:t>
            </w: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Factory</w:t>
            </w:r>
          </w:p>
        </w:tc>
        <w:tc>
          <w:tcPr>
            <w:tcW w:w="18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previously reported have been reclassified to conform to the current year’s presentation.</w:t>
      </w:r>
    </w:p>
    <w:p>
      <w:pPr>
        <w:spacing w:after="0" w:line="225" w:lineRule="exact"/>
        <w:rPr>
          <w:rFonts w:ascii="Arial" w:cs="Arial" w:eastAsia="Arial" w:hAnsi="Arial"/>
          <w:sz w:val="18"/>
          <w:szCs w:val="18"/>
          <w:color w:val="auto"/>
        </w:rPr>
      </w:pPr>
    </w:p>
    <w:p>
      <w:pPr>
        <w:ind w:left="660" w:hanging="328"/>
        <w:spacing w:after="0" w:line="264" w:lineRule="auto"/>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results from reduction in interest rates payable on debt following the refinancings completed in the fourth quarter of 2004, in which the company’s outstanding 10 3/8% senior subordinated notes and 16% senior discount notes were redeemed with the proceeds of $275 million in new term loans with an interest rate of 9 ¾% and internally available funds.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Crew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Balance Sheet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as of</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04/30/05</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w w:val="95"/>
              </w:rPr>
              <w:t>05/01/04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 in millions)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760" w:type="dxa"/>
            <w:vAlign w:val="bottom"/>
            <w:tcBorders>
              <w:bottom w:val="single" w:sz="8" w:color="CCEEFF"/>
            </w:tcBorders>
            <w:gridSpan w:val="2"/>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Cash</w:t>
            </w:r>
          </w:p>
        </w:tc>
        <w:tc>
          <w:tcPr>
            <w:tcW w:w="312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312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2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Deficit</w:t>
            </w:r>
          </w:p>
        </w:tc>
        <w:tc>
          <w:tcPr>
            <w:tcW w:w="2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1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(includes current portion)</w:t>
            </w: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Non-redeemable preferred stock</w:t>
            </w: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240" w:top="356" w:right="41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Other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w w:val="91"/>
              </w:rPr>
              <w:t>Thirteen weeks ended</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04/30/05</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05/01/04</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00" w:type="dxa"/>
            <w:vAlign w:val="bottom"/>
            <w:gridSpan w:val="3"/>
          </w:tcPr>
          <w:p>
            <w:pPr>
              <w:jc w:val="center"/>
              <w:ind w:right="516"/>
              <w:spacing w:after="0" w:line="119" w:lineRule="exact"/>
              <w:rPr>
                <w:sz w:val="20"/>
                <w:szCs w:val="20"/>
                <w:color w:val="auto"/>
              </w:rPr>
            </w:pPr>
            <w:r>
              <w:rPr>
                <w:rFonts w:ascii="Arial" w:cs="Arial" w:eastAsia="Arial" w:hAnsi="Arial"/>
                <w:sz w:val="13"/>
                <w:szCs w:val="13"/>
                <w:b w:val="1"/>
                <w:bCs w:val="1"/>
                <w:color w:val="auto"/>
              </w:rPr>
              <w:t>(Unaudited)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gridSpan w:val="3"/>
          </w:tcPr>
          <w:p>
            <w:pPr>
              <w:jc w:val="center"/>
              <w:ind w:right="516"/>
              <w:spacing w:after="0"/>
              <w:rPr>
                <w:sz w:val="20"/>
                <w:szCs w:val="20"/>
                <w:color w:val="auto"/>
              </w:rPr>
            </w:pPr>
            <w:r>
              <w:rPr>
                <w:rFonts w:ascii="Arial" w:cs="Arial" w:eastAsia="Arial" w:hAnsi="Arial"/>
                <w:sz w:val="14"/>
                <w:szCs w:val="14"/>
                <w:b w:val="1"/>
                <w:bCs w:val="1"/>
                <w:color w:val="auto"/>
                <w:w w:val="95"/>
              </w:rPr>
              <w:t>($ in millions)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EBITDA(a)</w:t>
            </w:r>
          </w:p>
        </w:tc>
        <w:tc>
          <w:tcPr>
            <w:tcW w:w="326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interest paid</w:t>
            </w: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provided by (used in) operations</w:t>
            </w:r>
          </w:p>
        </w:tc>
        <w:tc>
          <w:tcPr>
            <w:tcW w:w="2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provided by financing activities</w:t>
            </w: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Capital expenditures</w:t>
            </w: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Increase (decrease) in cash</w:t>
            </w:r>
          </w:p>
        </w:tc>
        <w:tc>
          <w:tcPr>
            <w:tcW w:w="326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400" w:hanging="392"/>
        <w:spacing w:after="0" w:line="302" w:lineRule="auto"/>
        <w:tabs>
          <w:tab w:leader="none" w:pos="413" w:val="left"/>
        </w:tabs>
        <w:numPr>
          <w:ilvl w:val="0"/>
          <w:numId w:val="4"/>
        </w:numPr>
        <w:rPr>
          <w:rFonts w:ascii="Arial" w:cs="Arial" w:eastAsia="Arial" w:hAnsi="Arial"/>
          <w:sz w:val="16"/>
          <w:szCs w:val="16"/>
          <w:color w:val="auto"/>
        </w:rPr>
      </w:pPr>
      <w:r>
        <w:rPr>
          <w:rFonts w:ascii="Arial" w:cs="Arial" w:eastAsia="Arial" w:hAnsi="Arial"/>
          <w:sz w:val="16"/>
          <w:szCs w:val="16"/>
          <w:color w:val="auto"/>
        </w:rPr>
        <w:t>Earnings before interest, taxes and depreciation and amortization (EBITDA) should not be considered as an alternative to any measure of operating results as promulgated under generally accepted accounting principles, including operating income and net income. The Company uses EBITDA as a supplemental measure of cash flow. Management and investors often use EBITDA as a measure of our ability to service our debt. Other companies may calculate EBITDA differently and therefore, our calculations are not necessarily comparable with similarly titled figures for other companies.</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00"/>
      </w:cols>
      <w:pgMar w:left="2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2019-12-14T19:08:32Z</dcterms:created>
  <dcterms:modified xsi:type="dcterms:W3CDTF">2019-12-14T19:08:32Z</dcterms:modified>
</cp:coreProperties>
</file>