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r>
        <w:rPr>
          <w:rFonts w:ascii="Arial" w:cs="Arial" w:eastAsia="Arial" w:hAnsi="Arial"/>
          <w:sz w:val="18"/>
          <w:szCs w:val="18"/>
          <w:b w:val="1"/>
          <w:bCs w:val="1"/>
          <w:color w:val="auto"/>
        </w:rPr>
        <w:t>May 13, 2005</w:t>
      </w:r>
    </w:p>
    <w:p>
      <w:pPr>
        <w:sectPr>
          <w:pgSz w:w="11900" w:h="16838" w:orient="portrait"/>
          <w:cols w:equalWidth="0" w:num="1">
            <w:col w:w="11420"/>
          </w:cols>
          <w:pgMar w:left="240" w:top="733" w:right="239" w:bottom="0" w:gutter="0" w:footer="0" w:header="0"/>
        </w:sectPr>
      </w:pPr>
    </w:p>
    <w:p>
      <w:pPr>
        <w:spacing w:after="0" w:line="200" w:lineRule="exact"/>
        <w:rPr>
          <w:sz w:val="24"/>
          <w:szCs w:val="24"/>
          <w:color w:val="auto"/>
        </w:rPr>
      </w:pPr>
    </w:p>
    <w:p>
      <w:pPr>
        <w:spacing w:after="0" w:line="237" w:lineRule="exact"/>
        <w:rPr>
          <w:sz w:val="24"/>
          <w:szCs w:val="24"/>
          <w:color w:val="auto"/>
        </w:rPr>
      </w:pPr>
    </w:p>
    <w:p>
      <w:pPr>
        <w:ind w:left="6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ind w:left="60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2420"/>
        <w:spacing w:after="0"/>
        <w:rPr>
          <w:sz w:val="20"/>
          <w:szCs w:val="20"/>
          <w:color w:val="auto"/>
        </w:rPr>
      </w:pPr>
      <w:r>
        <w:rPr>
          <w:rFonts w:ascii="Arial" w:cs="Arial" w:eastAsia="Arial" w:hAnsi="Arial"/>
          <w:sz w:val="13"/>
          <w:szCs w:val="13"/>
          <w:b w:val="1"/>
          <w:bCs w:val="1"/>
          <w:color w:val="auto"/>
        </w:rPr>
        <w:t>Registrant, State of Incorporation</w:t>
      </w:r>
    </w:p>
    <w:p>
      <w:pPr>
        <w:spacing w:after="0" w:line="15" w:lineRule="exact"/>
        <w:rPr>
          <w:sz w:val="24"/>
          <w:szCs w:val="24"/>
          <w:color w:val="auto"/>
        </w:rPr>
      </w:pPr>
    </w:p>
    <w:p>
      <w:pPr>
        <w:jc w:val="center"/>
        <w:ind w:right="2420"/>
        <w:spacing w:after="0"/>
        <w:rPr>
          <w:sz w:val="20"/>
          <w:szCs w:val="20"/>
          <w:color w:val="auto"/>
        </w:rPr>
      </w:pPr>
      <w:r>
        <w:rPr>
          <w:rFonts w:ascii="Arial" w:cs="Arial" w:eastAsia="Arial" w:hAnsi="Arial"/>
          <w:sz w:val="13"/>
          <w:szCs w:val="13"/>
          <w:b w:val="1"/>
          <w:bCs w:val="1"/>
          <w:color w:val="auto"/>
        </w:rPr>
        <w:t>Address and Telephone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3">
            <w:col w:w="3820" w:space="720"/>
            <w:col w:w="4500" w:space="720"/>
            <w:col w:w="1660"/>
          </w:cols>
          <w:pgMar w:left="240" w:top="733" w:right="239" w:bottom="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1980" w:type="dxa"/>
            <w:vAlign w:val="bottom"/>
            <w:tcBorders>
              <w:top w:val="single" w:sz="8" w:color="auto"/>
            </w:tcBorders>
            <w:vMerge w:val="restart"/>
          </w:tcPr>
          <w:p>
            <w:pPr>
              <w:jc w:val="right"/>
              <w:ind w:right="510"/>
              <w:spacing w:after="0"/>
              <w:rPr>
                <w:sz w:val="20"/>
                <w:szCs w:val="20"/>
                <w:color w:val="auto"/>
              </w:rPr>
            </w:pPr>
            <w:r>
              <w:rPr>
                <w:rFonts w:ascii="Arial" w:cs="Arial" w:eastAsia="Arial" w:hAnsi="Arial"/>
                <w:sz w:val="18"/>
                <w:szCs w:val="18"/>
                <w:b w:val="1"/>
                <w:bCs w:val="1"/>
                <w:color w:val="auto"/>
              </w:rPr>
              <w:t>333-42427</w:t>
            </w:r>
          </w:p>
        </w:tc>
        <w:tc>
          <w:tcPr>
            <w:tcW w:w="320" w:type="dxa"/>
            <w:vAlign w:val="bottom"/>
          </w:tcPr>
          <w:p>
            <w:pPr>
              <w:spacing w:after="0"/>
              <w:rPr>
                <w:sz w:val="12"/>
                <w:szCs w:val="12"/>
                <w:color w:val="auto"/>
              </w:rPr>
            </w:pPr>
          </w:p>
        </w:tc>
        <w:tc>
          <w:tcPr>
            <w:tcW w:w="6560" w:type="dxa"/>
            <w:vAlign w:val="bottom"/>
            <w:tcBorders>
              <w:top w:val="single" w:sz="8" w:color="auto"/>
            </w:tcBorders>
          </w:tcPr>
          <w:p>
            <w:pPr>
              <w:spacing w:after="0" w:line="141" w:lineRule="exact"/>
              <w:rPr>
                <w:sz w:val="20"/>
                <w:szCs w:val="20"/>
                <w:color w:val="auto"/>
              </w:rPr>
            </w:pPr>
            <w:r>
              <w:rPr>
                <w:rFonts w:ascii="Arial" w:cs="Arial" w:eastAsia="Arial" w:hAnsi="Arial"/>
                <w:sz w:val="16"/>
                <w:szCs w:val="16"/>
                <w:b w:val="1"/>
                <w:bCs w:val="1"/>
                <w:color w:val="auto"/>
              </w:rPr>
              <w:t>J. CREW GROUP, INC.</w:t>
            </w:r>
          </w:p>
        </w:tc>
        <w:tc>
          <w:tcPr>
            <w:tcW w:w="300" w:type="dxa"/>
            <w:vAlign w:val="bottom"/>
          </w:tcPr>
          <w:p>
            <w:pPr>
              <w:spacing w:after="0"/>
              <w:rPr>
                <w:sz w:val="12"/>
                <w:szCs w:val="12"/>
                <w:color w:val="auto"/>
              </w:rPr>
            </w:pPr>
          </w:p>
        </w:tc>
        <w:tc>
          <w:tcPr>
            <w:tcW w:w="2260" w:type="dxa"/>
            <w:vAlign w:val="bottom"/>
            <w:tcBorders>
              <w:top w:val="single" w:sz="8" w:color="auto"/>
            </w:tcBorders>
            <w:vMerge w:val="restart"/>
          </w:tcPr>
          <w:p>
            <w:pPr>
              <w:jc w:val="right"/>
              <w:ind w:right="610"/>
              <w:spacing w:after="0"/>
              <w:rPr>
                <w:sz w:val="20"/>
                <w:szCs w:val="20"/>
                <w:color w:val="auto"/>
              </w:rPr>
            </w:pPr>
            <w:r>
              <w:rPr>
                <w:rFonts w:ascii="Arial" w:cs="Arial" w:eastAsia="Arial" w:hAnsi="Arial"/>
                <w:sz w:val="18"/>
                <w:szCs w:val="18"/>
                <w:b w:val="1"/>
                <w:bCs w:val="1"/>
                <w:color w:val="auto"/>
              </w:rPr>
              <w:t>22-2894486</w:t>
            </w:r>
          </w:p>
        </w:tc>
        <w:tc>
          <w:tcPr>
            <w:tcW w:w="0" w:type="dxa"/>
            <w:vAlign w:val="bottom"/>
          </w:tcPr>
          <w:p>
            <w:pPr>
              <w:spacing w:after="0"/>
              <w:rPr>
                <w:sz w:val="1"/>
                <w:szCs w:val="1"/>
                <w:color w:val="auto"/>
              </w:rPr>
            </w:pPr>
          </w:p>
        </w:tc>
      </w:tr>
      <w:tr>
        <w:trPr>
          <w:trHeight w:val="94"/>
        </w:trPr>
        <w:tc>
          <w:tcPr>
            <w:tcW w:w="19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(Incorporated in New York)</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770 Broadway</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New York, New York 10003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Telephone: (212) 209-2500</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9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333-42423</w:t>
            </w:r>
          </w:p>
        </w:tc>
        <w:tc>
          <w:tcPr>
            <w:tcW w:w="3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32"/>
                <w:szCs w:val="32"/>
                <w:b w:val="1"/>
                <w:bCs w:val="1"/>
                <w:color w:val="auto"/>
              </w:rPr>
              <w:t>J. CREW OPERATING CORP.</w:t>
            </w:r>
          </w:p>
        </w:tc>
        <w:tc>
          <w:tcPr>
            <w:tcW w:w="226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22-3540930</w:t>
            </w:r>
          </w:p>
        </w:tc>
        <w:tc>
          <w:tcPr>
            <w:tcW w:w="0" w:type="dxa"/>
            <w:vAlign w:val="bottom"/>
          </w:tcPr>
          <w:p>
            <w:pPr>
              <w:spacing w:after="0"/>
              <w:rPr>
                <w:sz w:val="1"/>
                <w:szCs w:val="1"/>
                <w:color w:val="auto"/>
              </w:rPr>
            </w:pPr>
          </w:p>
        </w:tc>
      </w:tr>
      <w:tr>
        <w:trPr>
          <w:trHeight w:val="54"/>
        </w:trPr>
        <w:tc>
          <w:tcPr>
            <w:tcW w:w="19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(Incorporated in Delaware)</w:t>
      </w:r>
    </w:p>
    <w:p>
      <w:pPr>
        <w:spacing w:after="0" w:line="27"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770 Broadway</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Telephone: (212) 209-2500</w:t>
      </w:r>
    </w:p>
    <w:p>
      <w:pPr>
        <w:spacing w:after="0" w:line="21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 (see General Instruction A.2. below):</w:t>
      </w:r>
    </w:p>
    <w:p>
      <w:pPr>
        <w:spacing w:after="0" w:line="170"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664845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Material Definitive Agreements.</w:t>
      </w:r>
    </w:p>
    <w:p>
      <w:pPr>
        <w:spacing w:after="0" w:line="121" w:lineRule="exact"/>
        <w:rPr>
          <w:sz w:val="24"/>
          <w:szCs w:val="24"/>
          <w:color w:val="auto"/>
        </w:rPr>
      </w:pPr>
    </w:p>
    <w:p>
      <w:pPr>
        <w:ind w:right="80"/>
        <w:spacing w:after="0" w:line="276" w:lineRule="auto"/>
        <w:rPr>
          <w:sz w:val="20"/>
          <w:szCs w:val="20"/>
          <w:color w:val="auto"/>
        </w:rPr>
      </w:pPr>
      <w:r>
        <w:rPr>
          <w:rFonts w:ascii="Arial" w:cs="Arial" w:eastAsia="Arial" w:hAnsi="Arial"/>
          <w:sz w:val="17"/>
          <w:szCs w:val="17"/>
          <w:color w:val="auto"/>
        </w:rPr>
        <w:t>As disclosed in the Current Report on Form 8-K filed by the Company on March 23, 2005, the Company’s Board of Directors approved the following annual fees and equity compensation payable in 2005 to each Director who is neither an employee of the Company nor an employee or representative of Texas Pacific Group (each, an “Eligible Director”): (1) cash retainer of $30,000; (2) grant of a non-qualified stock option to purchase 10,000 shares of the Company’s common stock (“Initial Option”) under the Company’s 2003 Equity Incentive Plan (“2003 Plan”), to vest in equal installments over two years; and (3) additional cash compensation of $10,000 payable to the Chairman of the Audit Committee for his services on such Committee.</w:t>
      </w:r>
    </w:p>
    <w:p>
      <w:pPr>
        <w:spacing w:after="0" w:line="64" w:lineRule="exact"/>
        <w:rPr>
          <w:sz w:val="24"/>
          <w:szCs w:val="24"/>
          <w:color w:val="auto"/>
        </w:rPr>
      </w:pPr>
    </w:p>
    <w:p>
      <w:pPr>
        <w:jc w:val="both"/>
        <w:ind w:right="100"/>
        <w:spacing w:after="0" w:line="264" w:lineRule="auto"/>
        <w:rPr>
          <w:sz w:val="20"/>
          <w:szCs w:val="20"/>
          <w:color w:val="auto"/>
        </w:rPr>
      </w:pPr>
      <w:r>
        <w:rPr>
          <w:rFonts w:ascii="Arial" w:cs="Arial" w:eastAsia="Arial" w:hAnsi="Arial"/>
          <w:sz w:val="18"/>
          <w:szCs w:val="18"/>
          <w:color w:val="auto"/>
        </w:rPr>
        <w:t>On May 13, 2005, the Company’s Board of Directors approved the grant to each Eligible Director of a non-qualified option to purchase an additional 10,000 shares of the Company’s common stock under the 2003 Plan, as part of their 2005 compensation and in addition to the Initial Option, to vest according to the same schedule as the Initial Option.</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4"/>
          <w:szCs w:val="24"/>
          <w:color w:val="auto"/>
        </w:rPr>
      </w:pPr>
    </w:p>
    <w:p>
      <w:pPr>
        <w:ind w:right="240" w:firstLine="720"/>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hereunto duly authorized.</w:t>
      </w:r>
    </w:p>
    <w:p>
      <w:pPr>
        <w:spacing w:after="0" w:line="387"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J. CREW GROUP, INC.</w:t>
      </w:r>
    </w:p>
    <w:p>
      <w:pPr>
        <w:spacing w:after="0" w:line="23"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J. CREW OPERATING CORP.</w:t>
      </w:r>
    </w:p>
    <w:p>
      <w:pPr>
        <w:spacing w:after="0" w:line="211" w:lineRule="exact"/>
        <w:rPr>
          <w:sz w:val="24"/>
          <w:szCs w:val="24"/>
          <w:color w:val="auto"/>
        </w:rPr>
      </w:pPr>
    </w:p>
    <w:tbl>
      <w:tblPr>
        <w:tblLayout w:type="fixed"/>
        <w:tblInd w:w="45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6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Amanda J. Bokman</w:t>
            </w: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6140" w:type="dxa"/>
            <w:vAlign w:val="bottom"/>
          </w:tcPr>
          <w:p>
            <w:pPr>
              <w:spacing w:after="0"/>
              <w:rPr>
                <w:sz w:val="20"/>
                <w:szCs w:val="20"/>
                <w:color w:val="auto"/>
              </w:rPr>
            </w:pPr>
            <w:r>
              <w:rPr>
                <w:rFonts w:ascii="Arial" w:cs="Arial" w:eastAsia="Arial" w:hAnsi="Arial"/>
                <w:sz w:val="18"/>
                <w:szCs w:val="18"/>
                <w:color w:val="auto"/>
              </w:rPr>
              <w:t>Amanda J. Bokman</w:t>
            </w:r>
          </w:p>
        </w:tc>
      </w:tr>
    </w:tbl>
    <w:p>
      <w:pPr>
        <w:sectPr>
          <w:pgSz w:w="11900" w:h="16838" w:orient="portrait"/>
          <w:cols w:equalWidth="0" w:num="1">
            <w:col w:w="11420"/>
          </w:cols>
          <w:pgMar w:left="240" w:top="733" w:right="239" w:bottom="0" w:gutter="0" w:footer="0" w:header="0"/>
          <w:type w:val="continuous"/>
        </w:sectPr>
      </w:pPr>
    </w:p>
    <w:bookmarkStart w:id="1" w:name="page2"/>
    <w:bookmarkEnd w:id="1"/>
    <w:p>
      <w:pPr>
        <w:ind w:left="4560"/>
        <w:spacing w:after="0"/>
        <w:tabs>
          <w:tab w:leader="none" w:pos="52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Executive Vice-President</w:t>
      </w:r>
    </w:p>
    <w:p>
      <w:pPr>
        <w:spacing w:after="0" w:line="35" w:lineRule="exact"/>
        <w:rPr>
          <w:sz w:val="20"/>
          <w:szCs w:val="20"/>
          <w:color w:val="auto"/>
        </w:rPr>
      </w:pPr>
    </w:p>
    <w:p>
      <w:pPr>
        <w:jc w:val="right"/>
        <w:ind w:right="2959"/>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18, 2005</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2019-12-12T01:44:23Z</dcterms:created>
  <dcterms:modified xsi:type="dcterms:W3CDTF">2019-12-12T01:44:23Z</dcterms:modified>
</cp:coreProperties>
</file>